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494" w:rsidRPr="00CB1C7A" w:rsidRDefault="003F4494" w:rsidP="003F4494">
      <w:pPr>
        <w:spacing w:after="0" w:line="360" w:lineRule="auto"/>
        <w:jc w:val="center"/>
        <w:rPr>
          <w:rFonts w:ascii="Times New Roman" w:hAnsi="Times New Roman" w:cs="Times New Roman"/>
          <w:sz w:val="24"/>
          <w:szCs w:val="24"/>
        </w:rPr>
      </w:pPr>
      <w:r w:rsidRPr="00CB1C7A">
        <w:rPr>
          <w:rFonts w:ascii="Times New Roman" w:hAnsi="Times New Roman" w:cs="Times New Roman"/>
          <w:b/>
          <w:sz w:val="24"/>
          <w:szCs w:val="24"/>
          <w:u w:val="single"/>
        </w:rPr>
        <w:t>MEMORANDUM</w:t>
      </w:r>
      <w:bookmarkStart w:id="0" w:name="_GoBack"/>
      <w:bookmarkEnd w:id="0"/>
    </w:p>
    <w:p w:rsidR="003F4494" w:rsidRDefault="003F4494" w:rsidP="003F4494">
      <w:pPr>
        <w:spacing w:after="0" w:line="360" w:lineRule="auto"/>
        <w:jc w:val="both"/>
        <w:rPr>
          <w:rFonts w:ascii="Times New Roman" w:hAnsi="Times New Roman" w:cs="Times New Roman"/>
          <w:sz w:val="24"/>
          <w:szCs w:val="24"/>
        </w:rPr>
      </w:pPr>
    </w:p>
    <w:p w:rsidR="003F4494" w:rsidRDefault="003F4494" w:rsidP="003F44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 xml:space="preserve">May </w:t>
      </w:r>
      <w:r w:rsidR="005840BD">
        <w:rPr>
          <w:rFonts w:ascii="Times New Roman" w:hAnsi="Times New Roman" w:cs="Times New Roman"/>
          <w:sz w:val="24"/>
          <w:szCs w:val="24"/>
        </w:rPr>
        <w:t>20</w:t>
      </w:r>
      <w:r>
        <w:rPr>
          <w:rFonts w:ascii="Times New Roman" w:hAnsi="Times New Roman" w:cs="Times New Roman"/>
          <w:sz w:val="24"/>
          <w:szCs w:val="24"/>
        </w:rPr>
        <w:t>, 2019</w:t>
      </w:r>
    </w:p>
    <w:p w:rsidR="003F4494" w:rsidRPr="0027751D" w:rsidRDefault="003F4494" w:rsidP="003F44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Pr>
          <w:rFonts w:ascii="Times New Roman" w:hAnsi="Times New Roman" w:cs="Times New Roman"/>
          <w:sz w:val="24"/>
          <w:szCs w:val="24"/>
        </w:rPr>
        <w:tab/>
      </w:r>
      <w:r>
        <w:rPr>
          <w:rFonts w:ascii="Times New Roman" w:hAnsi="Times New Roman" w:cs="Times New Roman"/>
          <w:sz w:val="24"/>
          <w:szCs w:val="24"/>
        </w:rPr>
        <w:tab/>
        <w:t>JEA</w:t>
      </w:r>
    </w:p>
    <w:p w:rsidR="003F4494" w:rsidRPr="0027751D" w:rsidRDefault="003F4494" w:rsidP="003F4494">
      <w:pPr>
        <w:spacing w:after="0" w:line="360" w:lineRule="auto"/>
        <w:jc w:val="both"/>
        <w:rPr>
          <w:rFonts w:ascii="Times New Roman" w:hAnsi="Times New Roman" w:cs="Times New Roman"/>
          <w:sz w:val="24"/>
          <w:szCs w:val="24"/>
        </w:rPr>
      </w:pPr>
      <w:r w:rsidRPr="0027751D">
        <w:rPr>
          <w:rFonts w:ascii="Times New Roman" w:hAnsi="Times New Roman" w:cs="Times New Roman"/>
          <w:sz w:val="24"/>
          <w:szCs w:val="24"/>
        </w:rPr>
        <w:t>From:</w:t>
      </w:r>
      <w:r w:rsidRPr="0027751D">
        <w:rPr>
          <w:rFonts w:ascii="Times New Roman" w:hAnsi="Times New Roman" w:cs="Times New Roman"/>
          <w:sz w:val="24"/>
          <w:szCs w:val="24"/>
        </w:rPr>
        <w:tab/>
        <w:t xml:space="preserve"> </w:t>
      </w:r>
      <w:r w:rsidRPr="0027751D">
        <w:rPr>
          <w:rFonts w:ascii="Times New Roman" w:hAnsi="Times New Roman" w:cs="Times New Roman"/>
          <w:sz w:val="24"/>
          <w:szCs w:val="24"/>
        </w:rPr>
        <w:tab/>
      </w:r>
      <w:r>
        <w:rPr>
          <w:rFonts w:ascii="Times New Roman" w:hAnsi="Times New Roman" w:cs="Times New Roman"/>
          <w:sz w:val="24"/>
          <w:szCs w:val="24"/>
        </w:rPr>
        <w:t>Elizabeth Columbo, Barry Rothchild and Daniel Deaton</w:t>
      </w:r>
    </w:p>
    <w:p w:rsidR="003F4494" w:rsidRPr="0027751D" w:rsidRDefault="003F4494" w:rsidP="003F4494">
      <w:pPr>
        <w:pBdr>
          <w:bottom w:val="single" w:sz="12" w:space="1" w:color="auto"/>
        </w:pBd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Subject: </w:t>
      </w:r>
      <w:r>
        <w:rPr>
          <w:rFonts w:ascii="Times New Roman" w:hAnsi="Times New Roman" w:cs="Times New Roman"/>
          <w:sz w:val="24"/>
          <w:szCs w:val="24"/>
        </w:rPr>
        <w:tab/>
        <w:t>Long-Term Employee Incentive Program</w:t>
      </w:r>
    </w:p>
    <w:p w:rsidR="003F4494" w:rsidRDefault="003F4494" w:rsidP="003F4494">
      <w:pPr>
        <w:pStyle w:val="ListParagraph"/>
        <w:spacing w:after="0" w:line="360" w:lineRule="auto"/>
        <w:ind w:left="1080"/>
        <w:jc w:val="both"/>
        <w:rPr>
          <w:rFonts w:ascii="Times New Roman" w:hAnsi="Times New Roman" w:cs="Times New Roman"/>
          <w:sz w:val="24"/>
          <w:szCs w:val="24"/>
        </w:rPr>
      </w:pPr>
    </w:p>
    <w:p w:rsidR="003F4494" w:rsidRDefault="003F4494" w:rsidP="003F4494">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ISSUE</w:t>
      </w:r>
    </w:p>
    <w:p w:rsidR="003F4494" w:rsidRDefault="003F4494" w:rsidP="003F44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You have asked us to analyze whether JEA may create or establish a long-term employee incentive program (the “Program”) to pay a bonus or additional amounts to the employees of JEA over a period of one-to-three years if JEA were to achieve specific and mechanical financial metrics (such as an increase in the net asset value of JEA or an increase in the amount transferred annually to the City of Jacksonville).  In addition, you have asked us, if JEA could create the Program, whether JEA could pay such additional amounts to the employees for such program in the form of a JEA bond that JEA would issue directly to the employee</w:t>
      </w:r>
      <w:r w:rsidR="00280F3A">
        <w:rPr>
          <w:rFonts w:ascii="Times New Roman" w:hAnsi="Times New Roman" w:cs="Times New Roman"/>
          <w:sz w:val="24"/>
          <w:szCs w:val="24"/>
        </w:rPr>
        <w:t>.</w:t>
      </w:r>
    </w:p>
    <w:p w:rsidR="003F4494" w:rsidRDefault="003F4494" w:rsidP="003F4494">
      <w:pPr>
        <w:spacing w:after="0" w:line="360" w:lineRule="auto"/>
        <w:ind w:firstLine="720"/>
        <w:jc w:val="both"/>
        <w:rPr>
          <w:rFonts w:ascii="Times New Roman" w:hAnsi="Times New Roman" w:cs="Times New Roman"/>
          <w:sz w:val="24"/>
          <w:szCs w:val="24"/>
        </w:rPr>
      </w:pPr>
    </w:p>
    <w:p w:rsidR="003F4494" w:rsidRDefault="003F4494" w:rsidP="003F4494">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BRIEF ANSWER</w:t>
      </w:r>
    </w:p>
    <w:p w:rsidR="003F4494" w:rsidRDefault="003F4494" w:rsidP="003F44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do not believe that the Program would be able to clear legal hurdles under Florida law.  While JEA is authorized to adopt a program to award employees bonuses, and has done so as recently as fiscal year 2018, the specific features of the Program present challenges past </w:t>
      </w:r>
      <w:r w:rsidR="001F56DC">
        <w:rPr>
          <w:rFonts w:ascii="Times New Roman" w:hAnsi="Times New Roman" w:cs="Times New Roman"/>
          <w:sz w:val="24"/>
          <w:szCs w:val="24"/>
        </w:rPr>
        <w:t xml:space="preserve">JEA </w:t>
      </w:r>
      <w:r>
        <w:rPr>
          <w:rFonts w:ascii="Times New Roman" w:hAnsi="Times New Roman" w:cs="Times New Roman"/>
          <w:sz w:val="24"/>
          <w:szCs w:val="24"/>
        </w:rPr>
        <w:t>bonus programs do not.  Our main concern is that JEA would be presented with an unresolvable dilemma between two legal restraints.  First, JEA’s authorization to maintain an employee bonus program must be extended to all employees.  Second, employees of JEA</w:t>
      </w:r>
      <w:r w:rsidR="007E273A">
        <w:rPr>
          <w:rFonts w:ascii="Times New Roman" w:hAnsi="Times New Roman" w:cs="Times New Roman"/>
          <w:sz w:val="24"/>
          <w:szCs w:val="24"/>
        </w:rPr>
        <w:t xml:space="preserve"> could influence financial and operating decisions of JEA </w:t>
      </w:r>
      <w:r>
        <w:rPr>
          <w:rFonts w:ascii="Times New Roman" w:hAnsi="Times New Roman" w:cs="Times New Roman"/>
          <w:sz w:val="24"/>
          <w:szCs w:val="24"/>
        </w:rPr>
        <w:t xml:space="preserve">could not participate in the Program as we read the conflicts of interest provisions of Florida law because </w:t>
      </w:r>
      <w:r w:rsidR="007E273A">
        <w:rPr>
          <w:rFonts w:ascii="Times New Roman" w:hAnsi="Times New Roman" w:cs="Times New Roman"/>
          <w:sz w:val="24"/>
          <w:szCs w:val="24"/>
        </w:rPr>
        <w:t xml:space="preserve">they could </w:t>
      </w:r>
      <w:r>
        <w:rPr>
          <w:rFonts w:ascii="Times New Roman" w:hAnsi="Times New Roman" w:cs="Times New Roman"/>
          <w:sz w:val="24"/>
          <w:szCs w:val="24"/>
        </w:rPr>
        <w:t>impact the financial metrics being measured under the Program and would derive a direct financial benefit if the financial metrics were reached—which is the ostensible purpose of the Program. In addition, we have concerns regarding whether JEA would be able to establish a strong legislative record regarding the public purpose of the Program that could allow a court to conclude that the Program is in furtherance of a legitimate public purpose</w:t>
      </w:r>
      <w:r w:rsidR="00A26F24">
        <w:rPr>
          <w:rFonts w:ascii="Times New Roman" w:hAnsi="Times New Roman" w:cs="Times New Roman"/>
          <w:sz w:val="24"/>
          <w:szCs w:val="24"/>
        </w:rPr>
        <w:t xml:space="preserve"> due to the narrowly focused objectives of the Program</w:t>
      </w:r>
      <w:r>
        <w:rPr>
          <w:rFonts w:ascii="Times New Roman" w:hAnsi="Times New Roman" w:cs="Times New Roman"/>
          <w:sz w:val="24"/>
          <w:szCs w:val="24"/>
        </w:rPr>
        <w:t xml:space="preserve">.  While our analysis involved a general review of JEA’s charter, the City’s Charter, local and state laws and other available </w:t>
      </w:r>
      <w:r>
        <w:rPr>
          <w:rFonts w:ascii="Times New Roman" w:hAnsi="Times New Roman" w:cs="Times New Roman"/>
          <w:sz w:val="24"/>
          <w:szCs w:val="24"/>
        </w:rPr>
        <w:lastRenderedPageBreak/>
        <w:t>sources, the attorneys involved in the preparation of this memorandum are not licensed to practice law in the State of Florida (the “State”) nor do we have or maintain an office in the State and if JEA would like to move forward in developing such a program, we believe it would be prudent for JEA to retain Florida counsel to provide additional analysis or further determinations regarding the issues we have raised in this memorandum.</w:t>
      </w:r>
    </w:p>
    <w:p w:rsidR="003F4494" w:rsidRDefault="003F4494" w:rsidP="003F4494">
      <w:pPr>
        <w:spacing w:after="0" w:line="360" w:lineRule="auto"/>
        <w:ind w:firstLine="720"/>
        <w:jc w:val="both"/>
        <w:rPr>
          <w:rFonts w:ascii="Times New Roman" w:hAnsi="Times New Roman" w:cs="Times New Roman"/>
          <w:sz w:val="24"/>
          <w:szCs w:val="24"/>
        </w:rPr>
      </w:pPr>
    </w:p>
    <w:p w:rsidR="003F4494" w:rsidRPr="004D2349" w:rsidRDefault="003F4494" w:rsidP="003F4494">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DISCUSSION AND ANALYSIS</w:t>
      </w:r>
    </w:p>
    <w:p w:rsidR="003F4494" w:rsidRDefault="003F4494" w:rsidP="003F44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JEA is a municipal utility owned by the City of Jacksonville, Florida (the “City”).  JEA was established as a body politic and corporate and was renamed as the current JEA through Article 21</w:t>
      </w:r>
      <w:r w:rsidRPr="00BB451B">
        <w:rPr>
          <w:rFonts w:ascii="Times New Roman" w:hAnsi="Times New Roman" w:cs="Times New Roman"/>
          <w:sz w:val="24"/>
          <w:szCs w:val="24"/>
          <w:vertAlign w:val="superscript"/>
        </w:rPr>
        <w:footnoteReference w:id="1"/>
      </w:r>
      <w:r>
        <w:rPr>
          <w:rFonts w:ascii="Times New Roman" w:hAnsi="Times New Roman" w:cs="Times New Roman"/>
          <w:sz w:val="24"/>
          <w:szCs w:val="24"/>
        </w:rPr>
        <w:t xml:space="preserve"> of the City’s Charter</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(“City’s Charter”).  Article 21 of the City’s Charter serves as the charter for JEA (“JEA’s Charter,” together with the City’s Charter, the “Charters”). Although it is the intent of the article “to grant to JEA full power and right to exercise all authority necessary for the effective operation and conduct of JEA,” JEA’s power is nevertheless limited in accordance with City, State, and Federal laws</w:t>
      </w:r>
      <w:r>
        <w:rPr>
          <w:rStyle w:val="FootnoteReference"/>
          <w:rFonts w:ascii="Times New Roman" w:hAnsi="Times New Roman" w:cs="Times New Roman"/>
          <w:sz w:val="24"/>
          <w:szCs w:val="24"/>
        </w:rPr>
        <w:footnoteReference w:id="3"/>
      </w:r>
      <w:r w:rsidRPr="00754CE5">
        <w:rPr>
          <w:rFonts w:ascii="Times New Roman" w:hAnsi="Times New Roman" w:cs="Times New Roman"/>
          <w:sz w:val="24"/>
          <w:szCs w:val="24"/>
          <w:vertAlign w:val="superscript"/>
        </w:rPr>
        <w: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3F4494" w:rsidRDefault="003F4494" w:rsidP="003F4494">
      <w:pPr>
        <w:spacing w:after="0" w:line="360" w:lineRule="auto"/>
        <w:ind w:firstLine="720"/>
        <w:jc w:val="both"/>
        <w:rPr>
          <w:rFonts w:ascii="Times New Roman" w:hAnsi="Times New Roman" w:cs="Times New Roman"/>
          <w:sz w:val="24"/>
          <w:szCs w:val="24"/>
        </w:rPr>
      </w:pPr>
    </w:p>
    <w:p w:rsidR="003F4494" w:rsidRDefault="003F4494" w:rsidP="003F449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JEA’s Authority to Create Incentive Program Plans or Bonus Schemes  </w:t>
      </w:r>
    </w:p>
    <w:p w:rsidR="003F4494" w:rsidRDefault="003F4494" w:rsidP="003F44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JEA’s Charter was created for “the specific purpose . . .  to repose in JEA all powers with respect to electric, water, sewer, natural gas and such other utilities which are now, in the future could be, or could have been but for this article, exercised by the City of Jacksonville</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Acting as an extension of the City, JEA’s power is limited in the same way that the City’s would be. Accordingly, we must first look to the City’s Charter and ordinance code of the City to determine what powers, if any, the City and therefore JEA has to create an employee incentive program. </w:t>
      </w:r>
    </w:p>
    <w:p w:rsidR="003F4494" w:rsidRDefault="003F4494" w:rsidP="003F44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While the City’s Charter does not specifically authorize the creation of an employee incentive program, the City’s Municipal Ordinance Code (“Code”) does. The City’s Municipal Ordinance Code Title V, Chapter 116, Part 11, (the “Incentive Program Ordinance”) provides for the creation of “employee incentive programs, solely for the purpose of encouraging excellence in public service</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This section 116.1101, which appears under the Employees and Employee Benefits section of the Code, authorizes the establishment of employee incentive programs in accordance with the following conditions: </w:t>
      </w:r>
    </w:p>
    <w:p w:rsidR="003F4494" w:rsidRPr="002D60C7" w:rsidRDefault="003F4494" w:rsidP="003F4494">
      <w:pPr>
        <w:pStyle w:val="ListParagraph"/>
        <w:numPr>
          <w:ilvl w:val="0"/>
          <w:numId w:val="3"/>
        </w:numPr>
        <w:spacing w:after="0" w:line="240" w:lineRule="auto"/>
        <w:ind w:right="720"/>
        <w:jc w:val="both"/>
        <w:rPr>
          <w:rFonts w:ascii="Times New Roman" w:hAnsi="Times New Roman" w:cs="Times New Roman"/>
          <w:sz w:val="24"/>
          <w:szCs w:val="24"/>
        </w:rPr>
      </w:pPr>
      <w:r w:rsidRPr="002D60C7">
        <w:rPr>
          <w:rFonts w:ascii="Times New Roman" w:hAnsi="Times New Roman" w:cs="Times New Roman"/>
          <w:sz w:val="24"/>
          <w:szCs w:val="24"/>
        </w:rPr>
        <w:t>Such programs may include recognition of performance or achievement in the form of cash, plaques, trophies, clothing, food and nonalcoholic beverage, and other forms of tangible personal property.</w:t>
      </w:r>
    </w:p>
    <w:p w:rsidR="003F4494" w:rsidRPr="002F14FD" w:rsidRDefault="003F4494" w:rsidP="003F4494">
      <w:pPr>
        <w:pStyle w:val="ListParagraph"/>
        <w:numPr>
          <w:ilvl w:val="0"/>
          <w:numId w:val="3"/>
        </w:numPr>
        <w:spacing w:after="0" w:line="240" w:lineRule="auto"/>
        <w:ind w:right="720"/>
        <w:jc w:val="both"/>
        <w:rPr>
          <w:rFonts w:ascii="Times New Roman" w:hAnsi="Times New Roman" w:cs="Times New Roman"/>
          <w:sz w:val="24"/>
          <w:szCs w:val="24"/>
        </w:rPr>
      </w:pPr>
      <w:r w:rsidRPr="002F14FD">
        <w:rPr>
          <w:rFonts w:ascii="Times New Roman" w:hAnsi="Times New Roman" w:cs="Times New Roman"/>
          <w:sz w:val="24"/>
          <w:szCs w:val="24"/>
        </w:rPr>
        <w:t>Such programs shall be in accordance with ap</w:t>
      </w:r>
      <w:r>
        <w:rPr>
          <w:rFonts w:ascii="Times New Roman" w:hAnsi="Times New Roman" w:cs="Times New Roman"/>
          <w:sz w:val="24"/>
          <w:szCs w:val="24"/>
        </w:rPr>
        <w:t xml:space="preserve">plicable pay plan or collective </w:t>
      </w:r>
      <w:r w:rsidRPr="002F14FD">
        <w:rPr>
          <w:rFonts w:ascii="Times New Roman" w:hAnsi="Times New Roman" w:cs="Times New Roman"/>
          <w:sz w:val="24"/>
          <w:szCs w:val="24"/>
        </w:rPr>
        <w:t>bargaining agreement, or both; and</w:t>
      </w:r>
    </w:p>
    <w:p w:rsidR="003F4494" w:rsidRDefault="003F4494" w:rsidP="003F4494">
      <w:pPr>
        <w:pStyle w:val="ListParagraph"/>
        <w:numPr>
          <w:ilvl w:val="0"/>
          <w:numId w:val="3"/>
        </w:numPr>
        <w:spacing w:after="0" w:line="240" w:lineRule="auto"/>
        <w:ind w:right="720"/>
        <w:jc w:val="both"/>
        <w:rPr>
          <w:rFonts w:ascii="Times New Roman" w:hAnsi="Times New Roman" w:cs="Times New Roman"/>
          <w:sz w:val="24"/>
          <w:szCs w:val="24"/>
        </w:rPr>
      </w:pPr>
      <w:r w:rsidRPr="002D60C7">
        <w:rPr>
          <w:rFonts w:ascii="Times New Roman" w:hAnsi="Times New Roman" w:cs="Times New Roman"/>
          <w:sz w:val="24"/>
          <w:szCs w:val="24"/>
        </w:rPr>
        <w:t>Such programs shall be subject to prior approval of (1) the applicable department or agency head and (2) the Mayor or, as to the Council and its staff, the Council President</w:t>
      </w:r>
      <w:r>
        <w:rPr>
          <w:rStyle w:val="FootnoteReference"/>
          <w:rFonts w:ascii="Times New Roman" w:hAnsi="Times New Roman" w:cs="Times New Roman"/>
          <w:sz w:val="24"/>
          <w:szCs w:val="24"/>
        </w:rPr>
        <w:footnoteReference w:id="7"/>
      </w:r>
      <w:r w:rsidRPr="002D60C7">
        <w:rPr>
          <w:rFonts w:ascii="Times New Roman" w:hAnsi="Times New Roman" w:cs="Times New Roman"/>
          <w:sz w:val="24"/>
          <w:szCs w:val="24"/>
        </w:rPr>
        <w:t>.</w:t>
      </w:r>
    </w:p>
    <w:p w:rsidR="003F4494" w:rsidRDefault="003F4494" w:rsidP="003F4494">
      <w:pPr>
        <w:pStyle w:val="ListParagraph"/>
        <w:spacing w:after="0" w:line="240" w:lineRule="auto"/>
        <w:ind w:left="1800" w:right="720"/>
        <w:jc w:val="both"/>
        <w:rPr>
          <w:rFonts w:ascii="Times New Roman" w:hAnsi="Times New Roman" w:cs="Times New Roman"/>
          <w:sz w:val="24"/>
          <w:szCs w:val="24"/>
        </w:rPr>
      </w:pPr>
    </w:p>
    <w:p w:rsidR="003F4494" w:rsidRDefault="003F4494" w:rsidP="003F44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Because the City’s power is self-executing under the Florida Constitution, the Incentive Program Ordinance’s authorization of the creation of employee incentive programs is clearly within the power of the City, and by extension, JEA.   To satisfy the requirement of section 116.1101(c), an employee incentive program of JEA would be subject to the prior approval of the JEA Managing Director/CEO and the Mayor.</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rsidR="003F4494" w:rsidRDefault="003F4494" w:rsidP="003F44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While JEA is authorized under the Code to create employee incentive programs and expressly authorized to create employee suggestion plans</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the terms of any such program would be subject to applicable Florida law. Section 215.425, Florida Statutes, addresses the payment of extra compensation and bonuses for public employees. While section 215.425(1) generally prohibits the payment of any extra compensation to public employees after service has been rendered or the contract made, section 215.425(3) (the “Bonus Statute”) provides clear guidelines for implementing a “bonus scheme</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for public agencies. The current version of the Bonus Statute, last amended in 2011, provides that:</w:t>
      </w:r>
    </w:p>
    <w:p w:rsidR="003F4494" w:rsidRDefault="003F4494" w:rsidP="003F4494">
      <w:pPr>
        <w:spacing w:after="0" w:line="240" w:lineRule="auto"/>
        <w:ind w:left="1080" w:right="720" w:hanging="360"/>
        <w:jc w:val="both"/>
        <w:rPr>
          <w:rFonts w:ascii="Times New Roman" w:hAnsi="Times New Roman" w:cs="Times New Roman"/>
          <w:sz w:val="24"/>
          <w:szCs w:val="24"/>
        </w:rPr>
      </w:pPr>
      <w:r>
        <w:rPr>
          <w:rFonts w:ascii="Times New Roman" w:hAnsi="Times New Roman" w:cs="Times New Roman"/>
          <w:sz w:val="24"/>
          <w:szCs w:val="24"/>
        </w:rPr>
        <w:t>(3) Any policy, ordinance, rule, or resolution designed to implement a bonus scheme must:</w:t>
      </w:r>
    </w:p>
    <w:p w:rsidR="003F4494" w:rsidRDefault="003F4494" w:rsidP="003F4494">
      <w:pPr>
        <w:spacing w:after="0" w:line="240" w:lineRule="auto"/>
        <w:ind w:left="1440" w:right="720" w:hanging="360"/>
        <w:jc w:val="both"/>
        <w:rPr>
          <w:rFonts w:ascii="Times New Roman" w:hAnsi="Times New Roman" w:cs="Times New Roman"/>
          <w:sz w:val="24"/>
          <w:szCs w:val="24"/>
        </w:rPr>
      </w:pPr>
      <w:r>
        <w:rPr>
          <w:rFonts w:ascii="Times New Roman" w:hAnsi="Times New Roman" w:cs="Times New Roman"/>
          <w:sz w:val="24"/>
          <w:szCs w:val="24"/>
        </w:rPr>
        <w:t>(a) Base the award of a bonus on work performance;</w:t>
      </w:r>
    </w:p>
    <w:p w:rsidR="003F4494" w:rsidRDefault="003F4494" w:rsidP="003F4494">
      <w:pPr>
        <w:spacing w:after="0" w:line="240" w:lineRule="auto"/>
        <w:ind w:left="1440" w:right="720" w:hanging="360"/>
        <w:jc w:val="both"/>
        <w:rPr>
          <w:rFonts w:ascii="Times New Roman" w:hAnsi="Times New Roman" w:cs="Times New Roman"/>
          <w:sz w:val="24"/>
          <w:szCs w:val="24"/>
        </w:rPr>
      </w:pPr>
      <w:r>
        <w:rPr>
          <w:rFonts w:ascii="Times New Roman" w:hAnsi="Times New Roman" w:cs="Times New Roman"/>
          <w:sz w:val="24"/>
          <w:szCs w:val="24"/>
        </w:rPr>
        <w:t>(b) Describe the performance standards and evaluation process by which a bonus will be awarded;</w:t>
      </w:r>
    </w:p>
    <w:p w:rsidR="003F4494" w:rsidRDefault="003F4494" w:rsidP="003F4494">
      <w:pPr>
        <w:spacing w:after="0" w:line="240" w:lineRule="auto"/>
        <w:ind w:left="1440" w:right="720" w:hanging="360"/>
        <w:jc w:val="both"/>
        <w:rPr>
          <w:rFonts w:ascii="Times New Roman" w:hAnsi="Times New Roman" w:cs="Times New Roman"/>
          <w:sz w:val="24"/>
          <w:szCs w:val="24"/>
        </w:rPr>
      </w:pPr>
      <w:r>
        <w:rPr>
          <w:rFonts w:ascii="Times New Roman" w:hAnsi="Times New Roman" w:cs="Times New Roman"/>
          <w:sz w:val="24"/>
          <w:szCs w:val="24"/>
        </w:rPr>
        <w:t xml:space="preserve">(c) Notify all employees of the policy, ordinance, rule, or resolution before the beginning of the evaluation period on which a bonus will be based; and </w:t>
      </w:r>
    </w:p>
    <w:p w:rsidR="003F4494" w:rsidRDefault="003F4494" w:rsidP="003F4494">
      <w:pPr>
        <w:spacing w:after="0" w:line="240" w:lineRule="auto"/>
        <w:ind w:left="1440" w:right="720" w:hanging="360"/>
        <w:jc w:val="both"/>
        <w:rPr>
          <w:rFonts w:ascii="Times New Roman" w:hAnsi="Times New Roman" w:cs="Times New Roman"/>
          <w:sz w:val="24"/>
          <w:szCs w:val="24"/>
        </w:rPr>
      </w:pPr>
      <w:r>
        <w:rPr>
          <w:rFonts w:ascii="Times New Roman" w:hAnsi="Times New Roman" w:cs="Times New Roman"/>
          <w:sz w:val="24"/>
          <w:szCs w:val="24"/>
        </w:rPr>
        <w:t>(d) Consider all employees for the bonus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w:t>
      </w:r>
    </w:p>
    <w:p w:rsidR="003F4494" w:rsidRDefault="003F4494" w:rsidP="003F4494">
      <w:pPr>
        <w:spacing w:after="0" w:line="240" w:lineRule="auto"/>
        <w:ind w:left="1440" w:right="720" w:hanging="360"/>
        <w:jc w:val="both"/>
        <w:rPr>
          <w:rFonts w:ascii="Times New Roman" w:hAnsi="Times New Roman" w:cs="Times New Roman"/>
          <w:sz w:val="24"/>
          <w:szCs w:val="24"/>
        </w:rPr>
      </w:pPr>
    </w:p>
    <w:p w:rsidR="003F4494" w:rsidRDefault="003F4494" w:rsidP="003F44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described above, under section 215.425(3), JEA clearly has the authority under Florida law to create an incentive program or bonus scheme for its employees provided that (1) </w:t>
      </w:r>
      <w:r w:rsidRPr="00F40101">
        <w:rPr>
          <w:rFonts w:ascii="Times New Roman" w:hAnsi="Times New Roman" w:cs="Times New Roman"/>
          <w:sz w:val="24"/>
          <w:szCs w:val="24"/>
        </w:rPr>
        <w:t>all employees</w:t>
      </w:r>
      <w:r>
        <w:rPr>
          <w:rFonts w:ascii="Times New Roman" w:hAnsi="Times New Roman" w:cs="Times New Roman"/>
          <w:sz w:val="24"/>
          <w:szCs w:val="24"/>
        </w:rPr>
        <w:t xml:space="preserve"> are considered for a bonus, (2) the award of the bonus is based on work performance and (3) the public agency describes the performance standards and evaluation process for which a bonus is awarded.</w:t>
      </w:r>
      <w:r w:rsidR="00B90601">
        <w:rPr>
          <w:rFonts w:ascii="Times New Roman" w:hAnsi="Times New Roman" w:cs="Times New Roman"/>
          <w:sz w:val="24"/>
          <w:szCs w:val="24"/>
        </w:rPr>
        <w:t xml:space="preserve">  As provided in section 116.1101 of the Code of the City, the award can take the form of “</w:t>
      </w:r>
      <w:r w:rsidR="00B90601" w:rsidRPr="002D60C7">
        <w:rPr>
          <w:rFonts w:ascii="Times New Roman" w:hAnsi="Times New Roman" w:cs="Times New Roman"/>
          <w:sz w:val="24"/>
          <w:szCs w:val="24"/>
        </w:rPr>
        <w:t>cash, plaques, trophies, clothing, food and nonalcoholic beverage, and other forms of tangible personal property</w:t>
      </w:r>
      <w:r w:rsidR="00B90601">
        <w:rPr>
          <w:rFonts w:ascii="Times New Roman" w:hAnsi="Times New Roman" w:cs="Times New Roman"/>
          <w:sz w:val="24"/>
          <w:szCs w:val="24"/>
        </w:rPr>
        <w:t xml:space="preserve">.”  Stocks and bonds are considered intangible personal property under Florida law and so JEA would not be able to issue its revenue bonds </w:t>
      </w:r>
      <w:r w:rsidR="00280F3A">
        <w:rPr>
          <w:rFonts w:ascii="Times New Roman" w:hAnsi="Times New Roman" w:cs="Times New Roman"/>
          <w:sz w:val="24"/>
          <w:szCs w:val="24"/>
        </w:rPr>
        <w:t>to the employee as payment of such award.</w:t>
      </w:r>
      <w:r w:rsidR="00280F3A">
        <w:rPr>
          <w:rStyle w:val="FootnoteReference"/>
          <w:rFonts w:ascii="Times New Roman" w:hAnsi="Times New Roman" w:cs="Times New Roman"/>
          <w:sz w:val="24"/>
          <w:szCs w:val="24"/>
        </w:rPr>
        <w:footnoteReference w:id="12"/>
      </w:r>
    </w:p>
    <w:p w:rsidR="003F4494" w:rsidRDefault="003F4494" w:rsidP="003F4494">
      <w:pPr>
        <w:spacing w:after="0" w:line="360" w:lineRule="auto"/>
        <w:ind w:firstLine="720"/>
        <w:jc w:val="both"/>
        <w:rPr>
          <w:rFonts w:ascii="Times New Roman" w:hAnsi="Times New Roman" w:cs="Times New Roman"/>
          <w:sz w:val="24"/>
          <w:szCs w:val="24"/>
        </w:rPr>
      </w:pPr>
    </w:p>
    <w:p w:rsidR="003F4494" w:rsidRPr="00297D5A" w:rsidRDefault="003F4494" w:rsidP="003F4494">
      <w:pPr>
        <w:spacing w:after="0" w:line="360" w:lineRule="auto"/>
        <w:jc w:val="both"/>
        <w:rPr>
          <w:rFonts w:ascii="Times New Roman" w:hAnsi="Times New Roman" w:cs="Times New Roman"/>
          <w:b/>
          <w:sz w:val="24"/>
          <w:szCs w:val="24"/>
        </w:rPr>
      </w:pPr>
      <w:r w:rsidRPr="00297D5A">
        <w:rPr>
          <w:rFonts w:ascii="Times New Roman" w:hAnsi="Times New Roman" w:cs="Times New Roman"/>
          <w:b/>
          <w:sz w:val="24"/>
          <w:szCs w:val="24"/>
        </w:rPr>
        <w:t>Analysis of Application of Conflict of Interest Statutes to Program</w:t>
      </w:r>
    </w:p>
    <w:p w:rsidR="003F4494" w:rsidRPr="00F83801" w:rsidRDefault="003F4494" w:rsidP="003F4494">
      <w:pPr>
        <w:spacing w:after="0" w:line="360" w:lineRule="auto"/>
        <w:ind w:firstLine="720"/>
        <w:jc w:val="both"/>
      </w:pPr>
      <w:r>
        <w:rPr>
          <w:rStyle w:val="text"/>
          <w:rFonts w:ascii="Times New Roman" w:hAnsi="Times New Roman" w:cs="Times New Roman"/>
          <w:sz w:val="24"/>
          <w:szCs w:val="24"/>
        </w:rPr>
        <w:t xml:space="preserve">Section 112.311(5) of the Florida Code of Ethics for Public Officers and Employees </w:t>
      </w:r>
      <w:r w:rsidRPr="00F83801">
        <w:t>(</w:t>
      </w:r>
      <w:r w:rsidRPr="00F83801">
        <w:rPr>
          <w:rFonts w:ascii="Times New Roman" w:hAnsi="Times New Roman" w:cs="Times New Roman"/>
          <w:sz w:val="24"/>
          <w:szCs w:val="24"/>
        </w:rPr>
        <w:t>ss. 112.311-112.3261</w:t>
      </w:r>
      <w:r>
        <w:rPr>
          <w:rFonts w:ascii="Times New Roman" w:hAnsi="Times New Roman" w:cs="Times New Roman"/>
          <w:sz w:val="24"/>
          <w:szCs w:val="24"/>
        </w:rPr>
        <w:t>, Florida Statutes</w:t>
      </w:r>
      <w:r w:rsidRPr="00835C4B">
        <w:rPr>
          <w:rStyle w:val="text"/>
        </w:rPr>
        <w:t>)</w:t>
      </w:r>
      <w:r w:rsidRPr="00835C4B">
        <w:rPr>
          <w:rStyle w:val="text"/>
          <w:rFonts w:ascii="Times New Roman" w:hAnsi="Times New Roman" w:cs="Times New Roman"/>
          <w:sz w:val="24"/>
          <w:szCs w:val="24"/>
        </w:rPr>
        <w:t xml:space="preserve"> </w:t>
      </w:r>
      <w:r>
        <w:rPr>
          <w:rStyle w:val="text"/>
          <w:rFonts w:ascii="Times New Roman" w:hAnsi="Times New Roman" w:cs="Times New Roman"/>
          <w:sz w:val="24"/>
          <w:szCs w:val="24"/>
        </w:rPr>
        <w:t xml:space="preserve">(the “State Ethics Code”) </w:t>
      </w:r>
      <w:r w:rsidRPr="00835C4B">
        <w:rPr>
          <w:rStyle w:val="text"/>
          <w:rFonts w:ascii="Times New Roman" w:hAnsi="Times New Roman" w:cs="Times New Roman"/>
          <w:sz w:val="24"/>
          <w:szCs w:val="24"/>
        </w:rPr>
        <w:t>provides as follows</w:t>
      </w:r>
      <w:r w:rsidRPr="00F83801">
        <w:t>:</w:t>
      </w:r>
    </w:p>
    <w:p w:rsidR="003F4494" w:rsidRDefault="003F4494" w:rsidP="003F4494">
      <w:pPr>
        <w:spacing w:after="0" w:line="240" w:lineRule="auto"/>
        <w:ind w:left="720" w:right="720" w:firstLine="720"/>
        <w:jc w:val="both"/>
        <w:rPr>
          <w:rStyle w:val="text"/>
          <w:rFonts w:ascii="Times New Roman" w:hAnsi="Times New Roman" w:cs="Times New Roman"/>
          <w:sz w:val="24"/>
          <w:szCs w:val="24"/>
        </w:rPr>
      </w:pPr>
      <w:r w:rsidRPr="00961173">
        <w:rPr>
          <w:rStyle w:val="text"/>
          <w:rFonts w:ascii="Times New Roman" w:hAnsi="Times New Roman" w:cs="Times New Roman"/>
          <w:sz w:val="24"/>
          <w:szCs w:val="24"/>
        </w:rPr>
        <w:t>It is hereby declared to be the policy of the state that no officer or employee of a state agency or of a county, city, or other political subdivision of the state, and no member of the Legislature or legislative employee, shall have any interest, financial or otherwise, direct or indirect; engage in any business transaction or professional activity; or incur any obligation of any nature which is in substantial conflict with the proper discharge of his or her duties in the public interest.</w:t>
      </w:r>
    </w:p>
    <w:p w:rsidR="003F4494" w:rsidRDefault="003F4494" w:rsidP="003F4494">
      <w:pPr>
        <w:spacing w:after="0" w:line="240" w:lineRule="auto"/>
        <w:ind w:right="720" w:firstLine="720"/>
        <w:jc w:val="both"/>
        <w:rPr>
          <w:rStyle w:val="text"/>
          <w:rFonts w:ascii="Times New Roman" w:hAnsi="Times New Roman" w:cs="Times New Roman"/>
          <w:sz w:val="24"/>
          <w:szCs w:val="24"/>
        </w:rPr>
      </w:pPr>
    </w:p>
    <w:p w:rsidR="003F4494" w:rsidRPr="00756BC8" w:rsidRDefault="003F4494" w:rsidP="0078460C">
      <w:pPr>
        <w:spacing w:after="0" w:line="360" w:lineRule="auto"/>
        <w:ind w:firstLine="720"/>
        <w:jc w:val="both"/>
        <w:rPr>
          <w:rStyle w:val="text"/>
        </w:rPr>
      </w:pPr>
      <w:r>
        <w:rPr>
          <w:rStyle w:val="text"/>
          <w:rFonts w:ascii="Times New Roman" w:hAnsi="Times New Roman" w:cs="Times New Roman"/>
          <w:sz w:val="24"/>
          <w:szCs w:val="24"/>
        </w:rPr>
        <w:t>Similarly, the City Charter in providing for the enactment of an ethics code that would apply to officers and employees of the City and its independent agencies, including JEA, reiterated that “[t]h</w:t>
      </w:r>
      <w:r w:rsidRPr="00756BC8">
        <w:rPr>
          <w:rStyle w:val="text"/>
          <w:rFonts w:ascii="Times New Roman" w:hAnsi="Times New Roman" w:cs="Times New Roman"/>
          <w:sz w:val="24"/>
          <w:szCs w:val="24"/>
        </w:rPr>
        <w:t>e proper operation of responsible government requires that public officials and employees be independent, impartial, and responsible to the people; that government decisions and policy be made in the best interests of the people, the community and the government; that public office not be used for personal gain, and that the public have confidence in the integrity of its government</w:t>
      </w:r>
      <w:r>
        <w:rPr>
          <w:rStyle w:val="text"/>
          <w:rFonts w:ascii="Times New Roman" w:hAnsi="Times New Roman" w:cs="Times New Roman"/>
          <w:sz w:val="24"/>
          <w:szCs w:val="24"/>
        </w:rPr>
        <w:t>"</w:t>
      </w:r>
      <w:r>
        <w:rPr>
          <w:rStyle w:val="FootnoteReference"/>
          <w:rFonts w:ascii="Times New Roman" w:hAnsi="Times New Roman" w:cs="Times New Roman"/>
          <w:sz w:val="24"/>
          <w:szCs w:val="24"/>
        </w:rPr>
        <w:footnoteReference w:id="13"/>
      </w:r>
      <w:r>
        <w:rPr>
          <w:rStyle w:val="text"/>
          <w:rFonts w:ascii="Times New Roman" w:hAnsi="Times New Roman" w:cs="Times New Roman"/>
          <w:sz w:val="24"/>
          <w:szCs w:val="24"/>
        </w:rPr>
        <w:t xml:space="preserve"> and the City’s ethics code expressly makes the State Ethics Code applicable to officers and employees of the City and to JEA.</w:t>
      </w:r>
      <w:r>
        <w:rPr>
          <w:rStyle w:val="FootnoteReference"/>
          <w:rFonts w:ascii="Times New Roman" w:hAnsi="Times New Roman" w:cs="Times New Roman"/>
          <w:sz w:val="24"/>
          <w:szCs w:val="24"/>
        </w:rPr>
        <w:footnoteReference w:id="14"/>
      </w:r>
    </w:p>
    <w:p w:rsidR="003F4494" w:rsidRDefault="003F4494" w:rsidP="003F44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 further reduce the likelihood or appearance of conflicts of interest, Section 112.311(3)(a), Florida Statutes, provides that “[n]</w:t>
      </w:r>
      <w:r w:rsidRPr="004133D4">
        <w:rPr>
          <w:rFonts w:ascii="Times New Roman" w:hAnsi="Times New Roman" w:cs="Times New Roman"/>
          <w:sz w:val="24"/>
          <w:szCs w:val="24"/>
        </w:rPr>
        <w:t xml:space="preserve">o county, municipal, or other local public officer </w:t>
      </w:r>
      <w:r w:rsidRPr="004133D4">
        <w:rPr>
          <w:rFonts w:ascii="Times New Roman" w:hAnsi="Times New Roman" w:cs="Times New Roman"/>
          <w:sz w:val="24"/>
          <w:szCs w:val="24"/>
          <w:u w:val="single"/>
        </w:rPr>
        <w:t>shall vote</w:t>
      </w:r>
      <w:r w:rsidRPr="004133D4">
        <w:rPr>
          <w:rFonts w:ascii="Times New Roman" w:hAnsi="Times New Roman" w:cs="Times New Roman"/>
          <w:sz w:val="24"/>
          <w:szCs w:val="24"/>
        </w:rPr>
        <w:t xml:space="preserve"> in an official capacity upon any measure which would inure to his or her special private gain or loss”</w:t>
      </w:r>
      <w:r>
        <w:rPr>
          <w:rFonts w:ascii="Times New Roman" w:hAnsi="Times New Roman" w:cs="Times New Roman"/>
          <w:sz w:val="24"/>
          <w:szCs w:val="24"/>
        </w:rPr>
        <w:t xml:space="preserve"> (emphasis added)</w:t>
      </w:r>
      <w:r w:rsidRPr="004133D4">
        <w:rPr>
          <w:rFonts w:ascii="Times New Roman" w:hAnsi="Times New Roman" w:cs="Times New Roman"/>
          <w:sz w:val="24"/>
          <w:szCs w:val="24"/>
        </w:rPr>
        <w:t>.</w:t>
      </w:r>
      <w:r>
        <w:rPr>
          <w:rFonts w:ascii="Times New Roman" w:hAnsi="Times New Roman" w:cs="Times New Roman"/>
          <w:sz w:val="24"/>
          <w:szCs w:val="24"/>
        </w:rPr>
        <w:t xml:space="preserve"> Similarly, </w:t>
      </w:r>
      <w:r w:rsidRPr="004133D4">
        <w:rPr>
          <w:rFonts w:ascii="Times New Roman" w:hAnsi="Times New Roman" w:cs="Times New Roman"/>
          <w:sz w:val="24"/>
          <w:szCs w:val="24"/>
        </w:rPr>
        <w:t>Section 112.311(4)</w:t>
      </w:r>
      <w:r>
        <w:rPr>
          <w:rFonts w:ascii="Times New Roman" w:hAnsi="Times New Roman" w:cs="Times New Roman"/>
          <w:sz w:val="24"/>
          <w:szCs w:val="24"/>
        </w:rPr>
        <w:t>, Florida Statutes, provides that “[n]</w:t>
      </w:r>
      <w:r w:rsidRPr="004133D4">
        <w:rPr>
          <w:rFonts w:ascii="Times New Roman" w:hAnsi="Times New Roman" w:cs="Times New Roman"/>
          <w:sz w:val="24"/>
          <w:szCs w:val="24"/>
        </w:rPr>
        <w:t xml:space="preserve">o appointed public officer </w:t>
      </w:r>
      <w:r w:rsidRPr="004133D4">
        <w:rPr>
          <w:rFonts w:ascii="Times New Roman" w:hAnsi="Times New Roman" w:cs="Times New Roman"/>
          <w:sz w:val="24"/>
          <w:szCs w:val="24"/>
          <w:u w:val="single"/>
        </w:rPr>
        <w:t>shall participate</w:t>
      </w:r>
      <w:r w:rsidRPr="004133D4">
        <w:rPr>
          <w:rFonts w:ascii="Times New Roman" w:hAnsi="Times New Roman" w:cs="Times New Roman"/>
          <w:sz w:val="24"/>
          <w:szCs w:val="24"/>
        </w:rPr>
        <w:t xml:space="preserve"> in any matter which would inure to the officer’s special private gain or loss; which the officer knows would inure to the special private gain or loss of any principal by whom he or she is retained or to the parent organization or subsidiary of a corporate principal by which he or she is retained; or which he or she knows would inure to the special private gain or loss of a relative or business associate of the public officer, </w:t>
      </w:r>
      <w:r w:rsidRPr="004133D4">
        <w:rPr>
          <w:rFonts w:ascii="Times New Roman" w:hAnsi="Times New Roman" w:cs="Times New Roman"/>
          <w:sz w:val="24"/>
          <w:szCs w:val="24"/>
          <w:u w:val="single"/>
        </w:rPr>
        <w:t>without first disclosing the nature of his or her interest in the matter</w:t>
      </w:r>
      <w:r>
        <w:rPr>
          <w:rFonts w:ascii="Times New Roman" w:hAnsi="Times New Roman" w:cs="Times New Roman"/>
          <w:sz w:val="24"/>
          <w:szCs w:val="24"/>
          <w:u w:val="single"/>
        </w:rPr>
        <w:t>.</w:t>
      </w:r>
      <w:r w:rsidRPr="004133D4">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p>
    <w:p w:rsidR="003F4494" w:rsidRDefault="003F4494" w:rsidP="003F44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These state law provisions governing conflicts of interest would effectively prohibit any JEA employee from participating</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in any business transaction from which the JEA employee would personally benefit.  To us, this strikes at the heart of the Program.  The very nature of the Program is that employees of JEA will be incentivized to make financial and operating decisions that will increase specific financial goals.  If implemented, the Program would vest any employee involved </w:t>
      </w:r>
      <w:r w:rsidR="00175CBD">
        <w:rPr>
          <w:rFonts w:ascii="Times New Roman" w:hAnsi="Times New Roman" w:cs="Times New Roman"/>
          <w:sz w:val="24"/>
          <w:szCs w:val="24"/>
        </w:rPr>
        <w:t xml:space="preserve">in </w:t>
      </w:r>
      <w:r>
        <w:rPr>
          <w:rFonts w:ascii="Times New Roman" w:hAnsi="Times New Roman" w:cs="Times New Roman"/>
          <w:sz w:val="24"/>
          <w:szCs w:val="24"/>
        </w:rPr>
        <w:t xml:space="preserve">or in a position to influence financial and operating decisions that could increase those financial goals with a </w:t>
      </w:r>
      <w:r w:rsidR="00C70BB0">
        <w:rPr>
          <w:rFonts w:ascii="Times New Roman" w:hAnsi="Times New Roman" w:cs="Times New Roman"/>
          <w:sz w:val="24"/>
          <w:szCs w:val="24"/>
        </w:rPr>
        <w:t xml:space="preserve">concrete </w:t>
      </w:r>
      <w:r>
        <w:rPr>
          <w:rFonts w:ascii="Times New Roman" w:hAnsi="Times New Roman" w:cs="Times New Roman"/>
          <w:sz w:val="24"/>
          <w:szCs w:val="24"/>
        </w:rPr>
        <w:t>financial interest in the outcome of those decisions</w:t>
      </w:r>
      <w:r w:rsidR="00175CBD">
        <w:rPr>
          <w:rFonts w:ascii="Times New Roman" w:hAnsi="Times New Roman" w:cs="Times New Roman"/>
          <w:sz w:val="24"/>
          <w:szCs w:val="24"/>
        </w:rPr>
        <w:t>.  This would make it very difficult for such an employee to demonstrate that their actions are in the public interest and not based on their own private interest.</w:t>
      </w:r>
      <w:r>
        <w:rPr>
          <w:rFonts w:ascii="Times New Roman" w:hAnsi="Times New Roman" w:cs="Times New Roman"/>
          <w:sz w:val="24"/>
          <w:szCs w:val="24"/>
        </w:rPr>
        <w:t xml:space="preserve">  Past JEA bonus programs have not operated like this.  Instead, the JEA Board retained the authority to award bonuses based on the totality of numerous factors, many of which were not quantitative at all</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This creates space between the employee’s compensation and the financial or operating decision.  Under the Program, however, there would be no such space—in fact, that would be the entire purpose of the Program. </w:t>
      </w:r>
    </w:p>
    <w:p w:rsidR="003F4494" w:rsidRDefault="003F4494" w:rsidP="003F4494">
      <w:pPr>
        <w:spacing w:after="0" w:line="360" w:lineRule="auto"/>
        <w:ind w:firstLine="720"/>
        <w:jc w:val="both"/>
        <w:rPr>
          <w:rFonts w:ascii="Times New Roman" w:hAnsi="Times New Roman" w:cs="Times New Roman"/>
          <w:sz w:val="24"/>
          <w:szCs w:val="24"/>
        </w:rPr>
      </w:pPr>
    </w:p>
    <w:p w:rsidR="003F4494" w:rsidRPr="006711A7" w:rsidRDefault="003F4494" w:rsidP="003F449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Tension between the Program and JEA’s Public Purpose</w:t>
      </w:r>
    </w:p>
    <w:p w:rsidR="003F4494" w:rsidRDefault="003F4494" w:rsidP="003F4494">
      <w:pPr>
        <w:spacing w:after="240" w:line="360" w:lineRule="auto"/>
        <w:jc w:val="both"/>
        <w:rPr>
          <w:rFonts w:ascii="Times New Roman" w:hAnsi="Times New Roman" w:cs="Times New Roman"/>
          <w:color w:val="000000"/>
          <w:sz w:val="24"/>
          <w:szCs w:val="24"/>
          <w:lang w:val="en"/>
        </w:rPr>
      </w:pPr>
      <w:r>
        <w:rPr>
          <w:rFonts w:ascii="Verdana" w:eastAsia="Times New Roman" w:hAnsi="Verdana" w:cs="Times New Roman"/>
          <w:color w:val="000080"/>
          <w:sz w:val="20"/>
          <w:szCs w:val="20"/>
        </w:rPr>
        <w:tab/>
      </w:r>
      <w:r>
        <w:rPr>
          <w:rFonts w:ascii="Times New Roman" w:hAnsi="Times New Roman" w:cs="Times New Roman"/>
          <w:sz w:val="24"/>
          <w:szCs w:val="24"/>
        </w:rPr>
        <w:t xml:space="preserve">In addition to our concerns above, we are also concerned that a court could call into question whether the narrow focus of the Program on a few financial metrics is in reasonable furtherance of JEA’s public purpose.  </w:t>
      </w:r>
      <w:r w:rsidR="0078460C">
        <w:rPr>
          <w:rFonts w:ascii="Times New Roman" w:hAnsi="Times New Roman" w:cs="Times New Roman"/>
          <w:sz w:val="24"/>
          <w:szCs w:val="24"/>
        </w:rPr>
        <w:t>The authority of municipal governments to issue bonds and to make e</w:t>
      </w:r>
      <w:r>
        <w:rPr>
          <w:rFonts w:ascii="Times New Roman" w:hAnsi="Times New Roman" w:cs="Times New Roman"/>
          <w:sz w:val="24"/>
          <w:szCs w:val="24"/>
        </w:rPr>
        <w:t xml:space="preserve">xpenditures </w:t>
      </w:r>
      <w:r w:rsidR="0078460C">
        <w:rPr>
          <w:rFonts w:ascii="Times New Roman" w:hAnsi="Times New Roman" w:cs="Times New Roman"/>
          <w:sz w:val="24"/>
          <w:szCs w:val="24"/>
        </w:rPr>
        <w:t xml:space="preserve">of public funds </w:t>
      </w:r>
      <w:r>
        <w:rPr>
          <w:rFonts w:ascii="Times New Roman" w:hAnsi="Times New Roman" w:cs="Times New Roman"/>
          <w:sz w:val="24"/>
          <w:szCs w:val="24"/>
        </w:rPr>
        <w:t xml:space="preserve">are </w:t>
      </w:r>
      <w:r w:rsidR="0078460C">
        <w:rPr>
          <w:rFonts w:ascii="Times New Roman" w:hAnsi="Times New Roman" w:cs="Times New Roman"/>
          <w:sz w:val="24"/>
          <w:szCs w:val="24"/>
        </w:rPr>
        <w:t xml:space="preserve">required </w:t>
      </w:r>
      <w:r>
        <w:rPr>
          <w:rFonts w:ascii="Times New Roman" w:hAnsi="Times New Roman" w:cs="Times New Roman"/>
          <w:sz w:val="24"/>
          <w:szCs w:val="24"/>
        </w:rPr>
        <w:t>to be</w:t>
      </w:r>
      <w:r w:rsidR="0078460C">
        <w:rPr>
          <w:rFonts w:ascii="Times New Roman" w:hAnsi="Times New Roman" w:cs="Times New Roman"/>
          <w:sz w:val="24"/>
          <w:szCs w:val="24"/>
        </w:rPr>
        <w:t xml:space="preserve"> exercised</w:t>
      </w:r>
      <w:r>
        <w:rPr>
          <w:rFonts w:ascii="Times New Roman" w:hAnsi="Times New Roman" w:cs="Times New Roman"/>
          <w:sz w:val="24"/>
          <w:szCs w:val="24"/>
        </w:rPr>
        <w:t xml:space="preserve"> in furtherance of a public purpose and the concept of public purpose in consistently used by courts in Florida and across the country to evaluate whether a particular expenditure is a “legitimate exercise of the people’s power surrendered to the state”.</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Most of the case law </w:t>
      </w:r>
      <w:r w:rsidR="00E60F0B">
        <w:rPr>
          <w:rFonts w:ascii="Times New Roman" w:hAnsi="Times New Roman" w:cs="Times New Roman"/>
          <w:sz w:val="24"/>
          <w:szCs w:val="24"/>
        </w:rPr>
        <w:t xml:space="preserve">interpreting </w:t>
      </w:r>
      <w:r>
        <w:rPr>
          <w:rFonts w:ascii="Times New Roman" w:hAnsi="Times New Roman" w:cs="Times New Roman"/>
          <w:sz w:val="24"/>
          <w:szCs w:val="24"/>
        </w:rPr>
        <w:t xml:space="preserve">what constitutes a public purpose in Florida involves the validation of debt issued by a government entity and an examination of whether the state or local government is lending its credit to a private party in violation of </w:t>
      </w:r>
      <w:r w:rsidRPr="006A40E6">
        <w:rPr>
          <w:rFonts w:ascii="Times New Roman" w:hAnsi="Times New Roman" w:cs="Times New Roman"/>
          <w:sz w:val="24"/>
          <w:szCs w:val="24"/>
        </w:rPr>
        <w:t>Article VII, section 10 of the Florida state constitution.</w:t>
      </w:r>
      <w:r w:rsidRPr="006A40E6">
        <w:rPr>
          <w:rFonts w:ascii="Times New Roman" w:hAnsi="Times New Roman" w:cs="Times New Roman"/>
          <w:vertAlign w:val="superscript"/>
        </w:rPr>
        <w:t xml:space="preserve"> </w:t>
      </w:r>
      <w:r w:rsidRPr="006A40E6">
        <w:rPr>
          <w:rFonts w:ascii="Times New Roman" w:hAnsi="Times New Roman" w:cs="Times New Roman"/>
          <w:sz w:val="24"/>
          <w:szCs w:val="24"/>
          <w:vertAlign w:val="superscript"/>
        </w:rPr>
        <w:footnoteReference w:id="19"/>
      </w:r>
      <w:r w:rsidRPr="006A40E6">
        <w:rPr>
          <w:rFonts w:ascii="Times New Roman" w:hAnsi="Times New Roman" w:cs="Times New Roman"/>
          <w:color w:val="000000"/>
          <w:lang w:val="en"/>
        </w:rPr>
        <w:t xml:space="preserve"> </w:t>
      </w:r>
      <w:r w:rsidRPr="006A40E6">
        <w:rPr>
          <w:rFonts w:ascii="Times New Roman" w:hAnsi="Times New Roman" w:cs="Times New Roman"/>
          <w:sz w:val="24"/>
          <w:szCs w:val="24"/>
        </w:rPr>
        <w:t xml:space="preserve">  The courts in Florida have generally held that if a local government issues bonds where </w:t>
      </w:r>
      <w:r w:rsidRPr="006A40E6">
        <w:rPr>
          <w:rFonts w:ascii="Times New Roman" w:hAnsi="Times New Roman" w:cs="Times New Roman"/>
          <w:color w:val="000000"/>
          <w:sz w:val="24"/>
          <w:szCs w:val="24"/>
          <w:lang w:val="en"/>
        </w:rPr>
        <w:t>a pledge of public credit or taxing power is involved</w:t>
      </w:r>
      <w:r w:rsidRPr="006A40E6">
        <w:rPr>
          <w:rFonts w:ascii="Times New Roman" w:hAnsi="Times New Roman" w:cs="Times New Roman"/>
          <w:sz w:val="24"/>
          <w:szCs w:val="24"/>
        </w:rPr>
        <w:t xml:space="preserve"> for a project that includes a private component, the bonds are validly issued only if </w:t>
      </w:r>
      <w:r w:rsidRPr="006A40E6">
        <w:rPr>
          <w:rFonts w:ascii="Times New Roman" w:hAnsi="Times New Roman" w:cs="Times New Roman"/>
          <w:color w:val="000000"/>
          <w:sz w:val="24"/>
          <w:szCs w:val="24"/>
          <w:lang w:val="en"/>
        </w:rPr>
        <w:t>the bond issuance serves a “paramount public purpose” and any benefits to a private party are merely incidental.</w:t>
      </w:r>
      <w:r w:rsidRPr="006A40E6">
        <w:rPr>
          <w:rFonts w:ascii="Times New Roman" w:hAnsi="Times New Roman" w:cs="Times New Roman"/>
          <w:sz w:val="24"/>
          <w:szCs w:val="24"/>
          <w:vertAlign w:val="superscript"/>
        </w:rPr>
        <w:footnoteReference w:id="20"/>
      </w:r>
      <w:r w:rsidRPr="006A40E6">
        <w:rPr>
          <w:rFonts w:ascii="Times New Roman" w:hAnsi="Times New Roman" w:cs="Times New Roman"/>
          <w:color w:val="000000"/>
          <w:sz w:val="24"/>
          <w:szCs w:val="24"/>
          <w:lang w:val="en"/>
        </w:rPr>
        <w:t xml:space="preserve">  If it is a revenue bond financing</w:t>
      </w:r>
      <w:r w:rsidR="00BC3563">
        <w:rPr>
          <w:rFonts w:ascii="Times New Roman" w:hAnsi="Times New Roman" w:cs="Times New Roman"/>
          <w:color w:val="000000"/>
          <w:sz w:val="24"/>
          <w:szCs w:val="24"/>
          <w:lang w:val="en"/>
        </w:rPr>
        <w:t xml:space="preserve"> and</w:t>
      </w:r>
      <w:r w:rsidRPr="006A40E6">
        <w:rPr>
          <w:rFonts w:ascii="Times New Roman" w:hAnsi="Times New Roman" w:cs="Times New Roman"/>
          <w:color w:val="000000"/>
          <w:sz w:val="24"/>
          <w:szCs w:val="24"/>
          <w:lang w:val="en"/>
        </w:rPr>
        <w:t xml:space="preserve"> there is no lending of credit the courts have </w:t>
      </w:r>
      <w:r w:rsidR="00BC3563">
        <w:rPr>
          <w:rFonts w:ascii="Times New Roman" w:hAnsi="Times New Roman" w:cs="Times New Roman"/>
          <w:color w:val="000000"/>
          <w:sz w:val="24"/>
          <w:szCs w:val="24"/>
          <w:lang w:val="en"/>
        </w:rPr>
        <w:t xml:space="preserve">often </w:t>
      </w:r>
      <w:r w:rsidRPr="006A40E6">
        <w:rPr>
          <w:rFonts w:ascii="Times New Roman" w:hAnsi="Times New Roman" w:cs="Times New Roman"/>
          <w:color w:val="000000"/>
          <w:sz w:val="24"/>
          <w:szCs w:val="24"/>
          <w:lang w:val="en"/>
        </w:rPr>
        <w:t>found that it is enough to show only that an ordinary public purpose is served</w:t>
      </w:r>
      <w:r>
        <w:rPr>
          <w:rFonts w:ascii="Times New Roman" w:hAnsi="Times New Roman" w:cs="Times New Roman"/>
          <w:color w:val="000000"/>
          <w:sz w:val="24"/>
          <w:szCs w:val="24"/>
          <w:lang w:val="en"/>
        </w:rPr>
        <w:t xml:space="preserve"> by the issuance of such bonds</w:t>
      </w:r>
      <w:r w:rsidR="00320EAF">
        <w:rPr>
          <w:rStyle w:val="FootnoteReference"/>
          <w:rFonts w:ascii="Times New Roman" w:hAnsi="Times New Roman" w:cs="Times New Roman"/>
          <w:color w:val="000000"/>
          <w:sz w:val="24"/>
          <w:szCs w:val="24"/>
          <w:lang w:val="en"/>
        </w:rPr>
        <w:footnoteReference w:id="21"/>
      </w:r>
      <w:r w:rsidR="00BC3563">
        <w:rPr>
          <w:rFonts w:ascii="Times New Roman" w:hAnsi="Times New Roman" w:cs="Times New Roman"/>
          <w:color w:val="000000"/>
          <w:sz w:val="24"/>
          <w:szCs w:val="24"/>
          <w:lang w:val="en"/>
        </w:rPr>
        <w:t>, however this rule has not always been followed by the courts</w:t>
      </w:r>
      <w:r w:rsidRPr="006A40E6">
        <w:rPr>
          <w:rFonts w:ascii="Times New Roman" w:hAnsi="Times New Roman" w:cs="Times New Roman"/>
          <w:color w:val="000000"/>
          <w:sz w:val="24"/>
          <w:szCs w:val="24"/>
          <w:lang w:val="en"/>
        </w:rPr>
        <w:t>.</w:t>
      </w:r>
      <w:r w:rsidRPr="006A40E6">
        <w:rPr>
          <w:rFonts w:ascii="Times New Roman" w:hAnsi="Times New Roman" w:cs="Times New Roman"/>
          <w:sz w:val="24"/>
          <w:szCs w:val="24"/>
          <w:vertAlign w:val="superscript"/>
        </w:rPr>
        <w:footnoteReference w:id="22"/>
      </w:r>
      <w:r w:rsidRPr="006A40E6">
        <w:rPr>
          <w:rFonts w:ascii="Times New Roman" w:hAnsi="Times New Roman" w:cs="Times New Roman"/>
          <w:color w:val="000000"/>
          <w:sz w:val="24"/>
          <w:szCs w:val="24"/>
          <w:lang w:val="en"/>
        </w:rPr>
        <w:t xml:space="preserve"> </w:t>
      </w:r>
      <w:r>
        <w:rPr>
          <w:rFonts w:ascii="Times New Roman" w:hAnsi="Times New Roman" w:cs="Times New Roman"/>
          <w:color w:val="000000"/>
          <w:sz w:val="24"/>
          <w:szCs w:val="24"/>
          <w:lang w:val="en"/>
        </w:rPr>
        <w:t xml:space="preserve"> The lack of a specific definition of public purpose and inconsistent analysis by the courts creates uncertainty as to whether the establishment of the Program and the issue of bonds to provide awards under such program would survive a legal challenge. However, the courts are clear that if there are specific findings “by the legislature, </w:t>
      </w:r>
      <w:r w:rsidRPr="009F747E">
        <w:rPr>
          <w:rFonts w:ascii="Times New Roman" w:hAnsi="Times New Roman" w:cs="Times New Roman"/>
          <w:color w:val="000000"/>
          <w:sz w:val="24"/>
          <w:szCs w:val="24"/>
          <w:lang w:val="en"/>
        </w:rPr>
        <w:t>the Board of County Commissioners, and the Authority that the project is related to the health, safety, morals, and welfare of the residents” then</w:t>
      </w:r>
    </w:p>
    <w:p w:rsidR="003F4494" w:rsidRDefault="003F4494" w:rsidP="009A0817">
      <w:pPr>
        <w:spacing w:after="0" w:line="240" w:lineRule="auto"/>
        <w:ind w:left="720" w:right="504"/>
        <w:jc w:val="both"/>
        <w:textAlignment w:val="baseline"/>
        <w:rPr>
          <w:rFonts w:ascii="Times New Roman" w:eastAsia="Times New Roman" w:hAnsi="Times New Roman"/>
          <w:color w:val="000000"/>
          <w:spacing w:val="6"/>
        </w:rPr>
      </w:pPr>
      <w:r w:rsidRPr="00EF3590">
        <w:rPr>
          <w:rFonts w:ascii="Times New Roman" w:eastAsia="Times New Roman" w:hAnsi="Times New Roman"/>
          <w:color w:val="000000"/>
          <w:spacing w:val="6"/>
          <w:sz w:val="24"/>
          <w:szCs w:val="24"/>
        </w:rPr>
        <w:t>What constitutes a public purpose is, in the first instance, a question for the legislature to determine, and its opinion should be given great weight. A legislative declaration of public purpose is presumed to be valid, and should be deemed correct unless so clearly erroneous as to be beyond the power of the legislature[…] and the issuance of the Authority’s revenue bonds is adequately supported by a proper public purpose</w:t>
      </w:r>
      <w:r>
        <w:rPr>
          <w:rFonts w:ascii="Times New Roman" w:eastAsia="Times New Roman" w:hAnsi="Times New Roman"/>
          <w:color w:val="000000"/>
          <w:spacing w:val="6"/>
        </w:rPr>
        <w:t>.</w:t>
      </w:r>
      <w:r>
        <w:rPr>
          <w:rStyle w:val="FootnoteReference"/>
          <w:rFonts w:ascii="Times New Roman" w:eastAsia="Times New Roman" w:hAnsi="Times New Roman"/>
          <w:color w:val="000000"/>
          <w:spacing w:val="6"/>
        </w:rPr>
        <w:footnoteReference w:id="23"/>
      </w:r>
    </w:p>
    <w:p w:rsidR="00A07C6E" w:rsidRDefault="00A07C6E" w:rsidP="009A0817">
      <w:pPr>
        <w:spacing w:after="0" w:line="240" w:lineRule="auto"/>
        <w:ind w:left="720" w:right="504"/>
        <w:jc w:val="both"/>
        <w:textAlignment w:val="baseline"/>
        <w:rPr>
          <w:rFonts w:ascii="Times New Roman" w:eastAsia="Times New Roman" w:hAnsi="Times New Roman"/>
          <w:color w:val="000000"/>
          <w:spacing w:val="6"/>
        </w:rPr>
      </w:pPr>
    </w:p>
    <w:p w:rsidR="003F4494" w:rsidRPr="009F747E" w:rsidRDefault="003F4494" w:rsidP="003F4494">
      <w:pPr>
        <w:spacing w:after="240" w:line="360" w:lineRule="auto"/>
        <w:jc w:val="both"/>
        <w:rPr>
          <w:rFonts w:ascii="Times New Roman" w:hAnsi="Times New Roman" w:cs="Times New Roman"/>
          <w:color w:val="000000"/>
          <w:sz w:val="24"/>
          <w:szCs w:val="24"/>
          <w:lang w:val="en"/>
        </w:rPr>
      </w:pPr>
      <w:r w:rsidRPr="009F747E">
        <w:rPr>
          <w:rFonts w:ascii="Times New Roman" w:hAnsi="Times New Roman" w:cs="Times New Roman"/>
          <w:color w:val="000000"/>
          <w:sz w:val="24"/>
          <w:szCs w:val="24"/>
          <w:lang w:val="en"/>
        </w:rPr>
        <w:t xml:space="preserve">In making such a legislative declaration, </w:t>
      </w:r>
      <w:r>
        <w:rPr>
          <w:rFonts w:ascii="Times New Roman" w:hAnsi="Times New Roman" w:cs="Times New Roman"/>
          <w:color w:val="000000"/>
          <w:sz w:val="24"/>
          <w:szCs w:val="24"/>
          <w:lang w:val="en"/>
        </w:rPr>
        <w:t xml:space="preserve">one commentator itemized the list of elements that a governing body should consider in any legislative record to establish that an action is in furtherance of a </w:t>
      </w:r>
      <w:r w:rsidRPr="009F747E">
        <w:rPr>
          <w:rFonts w:ascii="Times New Roman" w:hAnsi="Times New Roman" w:cs="Times New Roman"/>
          <w:color w:val="000000"/>
          <w:sz w:val="24"/>
          <w:szCs w:val="24"/>
          <w:lang w:val="en"/>
        </w:rPr>
        <w:t xml:space="preserve">“public purpose” </w:t>
      </w:r>
      <w:r>
        <w:rPr>
          <w:rFonts w:ascii="Times New Roman" w:hAnsi="Times New Roman" w:cs="Times New Roman"/>
          <w:color w:val="000000"/>
          <w:sz w:val="24"/>
          <w:szCs w:val="24"/>
          <w:lang w:val="en"/>
        </w:rPr>
        <w:t>so</w:t>
      </w:r>
      <w:r w:rsidRPr="009F747E">
        <w:rPr>
          <w:rFonts w:ascii="Times New Roman" w:hAnsi="Times New Roman" w:cs="Times New Roman"/>
          <w:color w:val="000000"/>
          <w:sz w:val="24"/>
          <w:szCs w:val="24"/>
          <w:lang w:val="en"/>
        </w:rPr>
        <w:t xml:space="preserve"> that a subsequent review by a court would make it difficult for the court to overturn the findings of the legislative body:</w:t>
      </w:r>
    </w:p>
    <w:p w:rsidR="003F4494" w:rsidRDefault="003F4494" w:rsidP="003F4494">
      <w:pPr>
        <w:numPr>
          <w:ilvl w:val="0"/>
          <w:numId w:val="12"/>
        </w:numPr>
        <w:tabs>
          <w:tab w:val="clear" w:pos="288"/>
          <w:tab w:val="left" w:pos="1080"/>
        </w:tabs>
        <w:spacing w:before="274" w:after="0" w:line="251" w:lineRule="exact"/>
        <w:ind w:left="1080" w:right="720" w:hanging="360"/>
        <w:textAlignment w:val="baseline"/>
        <w:rPr>
          <w:rFonts w:eastAsia="Times New Roman"/>
          <w:color w:val="000000"/>
          <w:spacing w:val="3"/>
          <w:sz w:val="24"/>
        </w:rPr>
      </w:pPr>
      <w:r>
        <w:rPr>
          <w:rFonts w:ascii="Times New Roman" w:eastAsia="Times New Roman" w:hAnsi="Times New Roman"/>
          <w:color w:val="000000"/>
          <w:spacing w:val="3"/>
          <w:sz w:val="24"/>
        </w:rPr>
        <w:t>A concise statement of the problem;</w:t>
      </w:r>
    </w:p>
    <w:p w:rsidR="003F4494" w:rsidRDefault="003F4494" w:rsidP="003F4494">
      <w:pPr>
        <w:numPr>
          <w:ilvl w:val="0"/>
          <w:numId w:val="12"/>
        </w:numPr>
        <w:tabs>
          <w:tab w:val="clear" w:pos="288"/>
          <w:tab w:val="left" w:pos="1080"/>
        </w:tabs>
        <w:spacing w:after="0" w:line="286" w:lineRule="exact"/>
        <w:ind w:left="1080" w:right="720" w:hanging="360"/>
        <w:textAlignment w:val="baseline"/>
        <w:rPr>
          <w:rFonts w:eastAsia="Times New Roman"/>
          <w:color w:val="000000"/>
          <w:spacing w:val="3"/>
          <w:sz w:val="24"/>
        </w:rPr>
      </w:pPr>
      <w:r>
        <w:rPr>
          <w:rFonts w:ascii="Times New Roman" w:eastAsia="Times New Roman" w:hAnsi="Times New Roman"/>
          <w:color w:val="000000"/>
          <w:spacing w:val="3"/>
          <w:sz w:val="24"/>
        </w:rPr>
        <w:t>How the problem is affecting the public;</w:t>
      </w:r>
    </w:p>
    <w:p w:rsidR="003F4494" w:rsidRDefault="003F4494" w:rsidP="003F4494">
      <w:pPr>
        <w:numPr>
          <w:ilvl w:val="0"/>
          <w:numId w:val="12"/>
        </w:numPr>
        <w:tabs>
          <w:tab w:val="clear" w:pos="288"/>
          <w:tab w:val="left" w:pos="1080"/>
        </w:tabs>
        <w:spacing w:after="0" w:line="269" w:lineRule="exact"/>
        <w:ind w:left="1080" w:right="720" w:hanging="360"/>
        <w:jc w:val="both"/>
        <w:textAlignment w:val="baseline"/>
        <w:rPr>
          <w:rFonts w:eastAsia="Times New Roman"/>
          <w:color w:val="000000"/>
          <w:sz w:val="24"/>
        </w:rPr>
      </w:pPr>
      <w:r>
        <w:rPr>
          <w:rFonts w:ascii="Times New Roman" w:eastAsia="Times New Roman" w:hAnsi="Times New Roman"/>
          <w:color w:val="000000"/>
          <w:sz w:val="24"/>
        </w:rPr>
        <w:t>Identification of the factors causing or contributing to the problem;</w:t>
      </w:r>
    </w:p>
    <w:p w:rsidR="003F4494" w:rsidRDefault="003F4494" w:rsidP="003F4494">
      <w:pPr>
        <w:numPr>
          <w:ilvl w:val="0"/>
          <w:numId w:val="12"/>
        </w:numPr>
        <w:tabs>
          <w:tab w:val="clear" w:pos="288"/>
          <w:tab w:val="left" w:pos="1080"/>
        </w:tabs>
        <w:spacing w:before="4" w:after="0" w:line="269" w:lineRule="exact"/>
        <w:ind w:left="1080" w:right="720" w:hanging="360"/>
        <w:jc w:val="both"/>
        <w:textAlignment w:val="baseline"/>
        <w:rPr>
          <w:rFonts w:eastAsia="Times New Roman"/>
          <w:color w:val="000000"/>
          <w:sz w:val="24"/>
        </w:rPr>
      </w:pPr>
      <w:r>
        <w:rPr>
          <w:rFonts w:ascii="Times New Roman" w:eastAsia="Times New Roman" w:hAnsi="Times New Roman"/>
          <w:color w:val="000000"/>
          <w:sz w:val="24"/>
        </w:rPr>
        <w:t>Which factors the proposal will influence, including the ones that will not or cannot be affected;</w:t>
      </w:r>
    </w:p>
    <w:p w:rsidR="003F4494" w:rsidRDefault="003F4494" w:rsidP="003F4494">
      <w:pPr>
        <w:numPr>
          <w:ilvl w:val="0"/>
          <w:numId w:val="12"/>
        </w:numPr>
        <w:tabs>
          <w:tab w:val="clear" w:pos="288"/>
          <w:tab w:val="left" w:pos="1080"/>
        </w:tabs>
        <w:spacing w:before="5" w:after="0" w:line="263" w:lineRule="exact"/>
        <w:ind w:left="1080" w:right="720" w:hanging="360"/>
        <w:jc w:val="both"/>
        <w:textAlignment w:val="baseline"/>
        <w:rPr>
          <w:rFonts w:eastAsia="Times New Roman"/>
          <w:color w:val="000000"/>
          <w:sz w:val="24"/>
        </w:rPr>
      </w:pPr>
      <w:r>
        <w:rPr>
          <w:rFonts w:ascii="Times New Roman" w:eastAsia="Times New Roman" w:hAnsi="Times New Roman"/>
          <w:color w:val="000000"/>
          <w:sz w:val="24"/>
        </w:rPr>
        <w:t>How the proposal will operate to influence the factors that will be affected; that is, the mechanics of the nexus between action and purpose;</w:t>
      </w:r>
    </w:p>
    <w:p w:rsidR="003F4494" w:rsidRDefault="003F4494" w:rsidP="003F4494">
      <w:pPr>
        <w:numPr>
          <w:ilvl w:val="0"/>
          <w:numId w:val="12"/>
        </w:numPr>
        <w:tabs>
          <w:tab w:val="clear" w:pos="288"/>
          <w:tab w:val="left" w:pos="1080"/>
        </w:tabs>
        <w:spacing w:after="0" w:line="274" w:lineRule="exact"/>
        <w:ind w:left="1080" w:right="720" w:hanging="360"/>
        <w:jc w:val="both"/>
        <w:textAlignment w:val="baseline"/>
        <w:rPr>
          <w:rFonts w:eastAsia="Times New Roman"/>
          <w:color w:val="000000"/>
          <w:spacing w:val="8"/>
          <w:sz w:val="24"/>
        </w:rPr>
      </w:pPr>
      <w:r>
        <w:rPr>
          <w:rFonts w:ascii="Times New Roman" w:eastAsia="Times New Roman" w:hAnsi="Times New Roman"/>
          <w:color w:val="000000"/>
          <w:spacing w:val="8"/>
          <w:sz w:val="24"/>
        </w:rPr>
        <w:t>What the alternatives are; what has been tried that didn’t work or why this proposal is being suggested over alternatives;</w:t>
      </w:r>
    </w:p>
    <w:p w:rsidR="003F4494" w:rsidRDefault="003F4494" w:rsidP="003F4494">
      <w:pPr>
        <w:numPr>
          <w:ilvl w:val="0"/>
          <w:numId w:val="12"/>
        </w:numPr>
        <w:tabs>
          <w:tab w:val="clear" w:pos="288"/>
          <w:tab w:val="left" w:pos="1080"/>
        </w:tabs>
        <w:spacing w:before="4" w:after="0" w:line="269" w:lineRule="exact"/>
        <w:ind w:left="1080" w:right="720" w:hanging="360"/>
        <w:jc w:val="both"/>
        <w:textAlignment w:val="baseline"/>
        <w:rPr>
          <w:rFonts w:eastAsia="Times New Roman"/>
          <w:color w:val="000000"/>
          <w:sz w:val="24"/>
        </w:rPr>
      </w:pPr>
      <w:r>
        <w:rPr>
          <w:rFonts w:ascii="Times New Roman" w:eastAsia="Times New Roman" w:hAnsi="Times New Roman"/>
          <w:color w:val="000000"/>
          <w:sz w:val="24"/>
        </w:rPr>
        <w:t>How the success of the proposed project will be measured and when;</w:t>
      </w:r>
    </w:p>
    <w:p w:rsidR="003F4494" w:rsidRDefault="003F4494" w:rsidP="003F4494">
      <w:pPr>
        <w:numPr>
          <w:ilvl w:val="0"/>
          <w:numId w:val="12"/>
        </w:numPr>
        <w:tabs>
          <w:tab w:val="clear" w:pos="288"/>
          <w:tab w:val="left" w:pos="1080"/>
        </w:tabs>
        <w:spacing w:after="0" w:line="269" w:lineRule="exact"/>
        <w:ind w:left="1080" w:right="720" w:hanging="360"/>
        <w:jc w:val="both"/>
        <w:textAlignment w:val="baseline"/>
        <w:rPr>
          <w:rFonts w:eastAsia="Times New Roman"/>
          <w:color w:val="000000"/>
          <w:sz w:val="24"/>
        </w:rPr>
      </w:pPr>
      <w:r>
        <w:rPr>
          <w:rFonts w:ascii="Times New Roman" w:eastAsia="Times New Roman" w:hAnsi="Times New Roman"/>
          <w:color w:val="000000"/>
          <w:sz w:val="24"/>
        </w:rPr>
        <w:t>How the public will be protected if the project fails and rewarded if it succeeds; and</w:t>
      </w:r>
    </w:p>
    <w:p w:rsidR="003F4494" w:rsidRPr="008462BD" w:rsidRDefault="003F4494" w:rsidP="003F4494">
      <w:pPr>
        <w:numPr>
          <w:ilvl w:val="0"/>
          <w:numId w:val="12"/>
        </w:numPr>
        <w:tabs>
          <w:tab w:val="clear" w:pos="288"/>
          <w:tab w:val="left" w:pos="1080"/>
        </w:tabs>
        <w:spacing w:before="4" w:after="0" w:line="269" w:lineRule="exact"/>
        <w:ind w:left="1080" w:right="720" w:hanging="360"/>
        <w:jc w:val="both"/>
        <w:textAlignment w:val="baseline"/>
        <w:rPr>
          <w:rFonts w:eastAsia="Times New Roman"/>
          <w:color w:val="000000"/>
          <w:sz w:val="24"/>
        </w:rPr>
      </w:pPr>
      <w:r>
        <w:rPr>
          <w:rFonts w:ascii="Times New Roman" w:eastAsia="Times New Roman" w:hAnsi="Times New Roman"/>
          <w:color w:val="000000"/>
          <w:sz w:val="24"/>
        </w:rPr>
        <w:t>What the city’s risks and upsides are, what the private party’s risks and upside are, and a comparison of the two.</w:t>
      </w:r>
      <w:r w:rsidRPr="00EF3590">
        <w:rPr>
          <w:rFonts w:ascii="Times New Roman" w:hAnsi="Times New Roman" w:cs="Times New Roman"/>
          <w:sz w:val="24"/>
          <w:szCs w:val="24"/>
          <w:vertAlign w:val="superscript"/>
        </w:rPr>
        <w:t xml:space="preserve"> </w:t>
      </w:r>
      <w:r>
        <w:rPr>
          <w:rStyle w:val="FootnoteReference"/>
          <w:rFonts w:ascii="Times New Roman" w:hAnsi="Times New Roman" w:cs="Times New Roman"/>
          <w:sz w:val="24"/>
          <w:szCs w:val="24"/>
        </w:rPr>
        <w:footnoteReference w:id="24"/>
      </w:r>
    </w:p>
    <w:p w:rsidR="003F4494" w:rsidRDefault="003F4494" w:rsidP="003F4494">
      <w:pPr>
        <w:tabs>
          <w:tab w:val="left" w:pos="1080"/>
        </w:tabs>
        <w:spacing w:before="4" w:after="0" w:line="269" w:lineRule="exact"/>
        <w:ind w:left="1080" w:right="720"/>
        <w:jc w:val="both"/>
        <w:textAlignment w:val="baseline"/>
        <w:rPr>
          <w:rFonts w:eastAsia="Times New Roman"/>
          <w:color w:val="000000"/>
          <w:sz w:val="24"/>
        </w:rPr>
      </w:pPr>
    </w:p>
    <w:p w:rsidR="003F4494" w:rsidRDefault="003F4494" w:rsidP="003F44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connection with any approval of the Program by JEA’s Board, the Board should specifically articulate what problem the Program solves and how the Program is reasonably related to solving that problem.  In doing that, if the Board articulates the purposes of the Program solely in terms of the financial goals of JEA, then it could expose JEA to a court that questions whether that purpose is consistent with JEA’s mission.  Conversely, if the Board articulates its purpose as broad as its traditional mission has been, then a court could question why the Program furthers only a portion of that overall mission.</w:t>
      </w:r>
    </w:p>
    <w:p w:rsidR="003F4494" w:rsidRDefault="003F4494" w:rsidP="003F4494">
      <w:pPr>
        <w:spacing w:after="0" w:line="360" w:lineRule="auto"/>
        <w:ind w:firstLine="720"/>
        <w:jc w:val="both"/>
        <w:rPr>
          <w:rFonts w:ascii="Times New Roman" w:hAnsi="Times New Roman" w:cs="Times New Roman"/>
          <w:sz w:val="24"/>
          <w:szCs w:val="24"/>
        </w:rPr>
      </w:pPr>
      <w:r w:rsidRPr="006A40E6">
        <w:rPr>
          <w:rFonts w:ascii="Times New Roman" w:hAnsi="Times New Roman" w:cs="Times New Roman"/>
          <w:sz w:val="24"/>
          <w:szCs w:val="24"/>
        </w:rPr>
        <w:t>While we do not suggest that it represents</w:t>
      </w:r>
      <w:r>
        <w:rPr>
          <w:rFonts w:ascii="Times New Roman" w:hAnsi="Times New Roman" w:cs="Times New Roman"/>
          <w:sz w:val="24"/>
          <w:szCs w:val="24"/>
        </w:rPr>
        <w:t xml:space="preserve"> a clear legal prohibition, we do note that the Program would potentially be viewed by a court as in tension with JEA’s stated public purpose and role as a municipal utility—particularly since the Program would be unusual for municipal-owned </w:t>
      </w:r>
      <w:r w:rsidR="000517C2">
        <w:rPr>
          <w:rFonts w:ascii="Times New Roman" w:hAnsi="Times New Roman" w:cs="Times New Roman"/>
          <w:sz w:val="24"/>
          <w:szCs w:val="24"/>
        </w:rPr>
        <w:t>utilities</w:t>
      </w:r>
      <w:r>
        <w:rPr>
          <w:rFonts w:ascii="Times New Roman" w:hAnsi="Times New Roman" w:cs="Times New Roman"/>
          <w:sz w:val="24"/>
          <w:szCs w:val="24"/>
        </w:rPr>
        <w:t xml:space="preserve">. </w:t>
      </w:r>
      <w:r w:rsidRPr="005947C4">
        <w:rPr>
          <w:rFonts w:ascii="Times New Roman" w:hAnsi="Times New Roman" w:cs="Times New Roman"/>
          <w:sz w:val="24"/>
          <w:szCs w:val="24"/>
        </w:rPr>
        <w:t xml:space="preserve">JEA as a municipal utility </w:t>
      </w:r>
      <w:r>
        <w:rPr>
          <w:rFonts w:ascii="Times New Roman" w:hAnsi="Times New Roman" w:cs="Times New Roman"/>
          <w:sz w:val="24"/>
          <w:szCs w:val="24"/>
        </w:rPr>
        <w:t>is a not-for-</w:t>
      </w:r>
      <w:r w:rsidRPr="005947C4">
        <w:rPr>
          <w:rFonts w:ascii="Times New Roman" w:hAnsi="Times New Roman" w:cs="Times New Roman"/>
          <w:sz w:val="24"/>
          <w:szCs w:val="24"/>
        </w:rPr>
        <w:t xml:space="preserve">profit entity. </w:t>
      </w:r>
      <w:r>
        <w:rPr>
          <w:rFonts w:ascii="Times New Roman" w:hAnsi="Times New Roman" w:cs="Times New Roman"/>
          <w:sz w:val="24"/>
          <w:szCs w:val="24"/>
        </w:rPr>
        <w:t>As JEA’s website states, “</w:t>
      </w:r>
      <w:r w:rsidRPr="002625EB">
        <w:rPr>
          <w:rFonts w:ascii="Times New Roman" w:hAnsi="Times New Roman" w:cs="Times New Roman"/>
          <w:sz w:val="24"/>
          <w:szCs w:val="24"/>
        </w:rPr>
        <w:t>As your not-for-profit, community-owned utility, JEA is committed to providing you the most reliable service at the lowest possible cost in an environmentally friendly way.</w:t>
      </w:r>
      <w:r>
        <w:rPr>
          <w:rFonts w:ascii="Times New Roman" w:hAnsi="Times New Roman" w:cs="Times New Roman"/>
          <w:sz w:val="24"/>
          <w:szCs w:val="24"/>
        </w:rPr>
        <w:t xml:space="preserve">”  This is consistent with how JEA has approached its mission in the past and is consistent with other municipal-owned utilities.  Municipal-owned utilities exist for an array of quantitative and qualitative purposes which further the interests of the communities they serve.  Low utility rates for low-income members of the community, environmental considerations and securing long-term power sources to support the local economy are as important of purposes as generating net revenues in the short term.  </w:t>
      </w:r>
    </w:p>
    <w:p w:rsidR="003F4494" w:rsidRDefault="003F4494" w:rsidP="003F44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Our observation of the Program is that it furthers a very small set of the overall purposes of JEA while giving at least the perception of being inconsistent with other critical aspects of JEA’s stated mission.  Since the Program would be unique in nature among municipal-owned utilities (we are not aware of another similar program and particularly in Florida), we believe that the Program’s narrow focus on the generation of profits and financial performance to the exclusion of other considerations exposes the Program to a legal challenge that it is not in furtherance of JEA’s overall public purpose. </w:t>
      </w:r>
      <w:r w:rsidRPr="005947C4">
        <w:rPr>
          <w:rFonts w:ascii="Times New Roman" w:hAnsi="Times New Roman" w:cs="Times New Roman"/>
          <w:sz w:val="24"/>
          <w:szCs w:val="24"/>
        </w:rPr>
        <w:t xml:space="preserve"> </w:t>
      </w:r>
      <w:r>
        <w:rPr>
          <w:rFonts w:ascii="Times New Roman" w:hAnsi="Times New Roman" w:cs="Times New Roman"/>
          <w:sz w:val="24"/>
          <w:szCs w:val="24"/>
        </w:rPr>
        <w:t xml:space="preserve">As the Supreme Court of Florida stated in </w:t>
      </w:r>
      <w:r w:rsidRPr="003B69FF">
        <w:rPr>
          <w:rFonts w:ascii="Times New Roman" w:hAnsi="Times New Roman" w:cs="Times New Roman"/>
          <w:i/>
          <w:sz w:val="24"/>
          <w:szCs w:val="24"/>
        </w:rPr>
        <w:t>State v</w:t>
      </w:r>
      <w:r>
        <w:rPr>
          <w:rFonts w:ascii="Times New Roman" w:hAnsi="Times New Roman" w:cs="Times New Roman"/>
          <w:i/>
          <w:sz w:val="24"/>
          <w:szCs w:val="24"/>
        </w:rPr>
        <w:t>.</w:t>
      </w:r>
      <w:r w:rsidRPr="003B69FF">
        <w:rPr>
          <w:rFonts w:ascii="Times New Roman" w:hAnsi="Times New Roman" w:cs="Times New Roman"/>
          <w:i/>
          <w:sz w:val="24"/>
          <w:szCs w:val="24"/>
        </w:rPr>
        <w:t xml:space="preserve"> City of Panama City Beach</w:t>
      </w:r>
      <w:r>
        <w:rPr>
          <w:rFonts w:ascii="Times New Roman" w:hAnsi="Times New Roman" w:cs="Times New Roman"/>
          <w:sz w:val="24"/>
          <w:szCs w:val="24"/>
        </w:rPr>
        <w:t>:</w:t>
      </w:r>
    </w:p>
    <w:p w:rsidR="003F4494" w:rsidRDefault="003F4494" w:rsidP="003F4494">
      <w:pPr>
        <w:spacing w:after="0" w:line="240" w:lineRule="auto"/>
        <w:ind w:left="720" w:right="720"/>
        <w:jc w:val="both"/>
        <w:rPr>
          <w:sz w:val="24"/>
          <w:szCs w:val="24"/>
        </w:rPr>
      </w:pPr>
      <w:r w:rsidRPr="003B69FF">
        <w:rPr>
          <w:rFonts w:ascii="Times New Roman" w:eastAsia="Times New Roman" w:hAnsi="Times New Roman"/>
          <w:color w:val="000000"/>
          <w:sz w:val="24"/>
          <w:szCs w:val="24"/>
        </w:rPr>
        <w:t>The constitutional prohibition against pledging public credit to private enterprise, article IX, section 10, Florida Constitution (1885) (now contained in article VII, section 10), was designed “to restrict the activities and functions of the State, county and municipality to that of government and forbid their engaging directly or indirectly in commercial enterprises for profit.</w:t>
      </w:r>
      <w:r w:rsidRPr="009F747E">
        <w:rPr>
          <w:rFonts w:ascii="Times New Roman" w:eastAsia="Times New Roman" w:hAnsi="Times New Roman"/>
          <w:color w:val="000000"/>
          <w:sz w:val="24"/>
          <w:szCs w:val="24"/>
        </w:rPr>
        <w:t>” This prohibition is closely tied to revenue bonds and to what constitutes a proper public purpose.</w:t>
      </w:r>
      <w:r w:rsidRPr="009F747E">
        <w:rPr>
          <w:sz w:val="24"/>
          <w:szCs w:val="24"/>
        </w:rPr>
        <w:t xml:space="preserve"> </w:t>
      </w:r>
      <w:r w:rsidRPr="0078460C">
        <w:rPr>
          <w:rFonts w:ascii="Times New Roman" w:hAnsi="Times New Roman" w:cs="Times New Roman"/>
          <w:sz w:val="24"/>
          <w:szCs w:val="24"/>
          <w:vertAlign w:val="superscript"/>
        </w:rPr>
        <w:footnoteReference w:id="25"/>
      </w:r>
    </w:p>
    <w:p w:rsidR="0078460C" w:rsidRPr="009F747E" w:rsidRDefault="0078460C" w:rsidP="003F4494">
      <w:pPr>
        <w:spacing w:after="0" w:line="240" w:lineRule="auto"/>
        <w:ind w:left="720" w:right="720"/>
        <w:jc w:val="both"/>
        <w:rPr>
          <w:rFonts w:ascii="Times New Roman" w:eastAsia="Times New Roman" w:hAnsi="Times New Roman"/>
          <w:color w:val="000000"/>
          <w:sz w:val="24"/>
          <w:szCs w:val="24"/>
        </w:rPr>
      </w:pPr>
    </w:p>
    <w:p w:rsidR="003F4494" w:rsidRDefault="003F4494" w:rsidP="003F44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do not consider this to represent a clear legal prohibition but one of those uncertain legal issues that will affect any employee incentive program that awards bonuses solely on the basis of a few narrow financial metrics instead of an after-the-fact assessment by the Board of whether employees furthered the full public purposes of JEA.</w:t>
      </w:r>
      <w:r w:rsidR="00C70BB0">
        <w:rPr>
          <w:rFonts w:ascii="Times New Roman" w:hAnsi="Times New Roman" w:cs="Times New Roman"/>
          <w:sz w:val="24"/>
          <w:szCs w:val="24"/>
        </w:rPr>
        <w:t xml:space="preserve">  It also could be viewed as a possible interpretative framework a court would use in evaluating any legal analysis of the Program.</w:t>
      </w:r>
    </w:p>
    <w:p w:rsidR="00C70BB0" w:rsidRDefault="00C70BB0" w:rsidP="003F4494">
      <w:pPr>
        <w:spacing w:after="0" w:line="360" w:lineRule="auto"/>
        <w:ind w:firstLine="720"/>
        <w:jc w:val="both"/>
        <w:rPr>
          <w:rFonts w:ascii="Times New Roman" w:hAnsi="Times New Roman" w:cs="Times New Roman"/>
          <w:sz w:val="24"/>
          <w:szCs w:val="24"/>
        </w:rPr>
      </w:pPr>
    </w:p>
    <w:p w:rsidR="003F4494" w:rsidRPr="00227FB9" w:rsidRDefault="003F4494" w:rsidP="003F4494">
      <w:pPr>
        <w:spacing w:after="0" w:line="360" w:lineRule="auto"/>
        <w:jc w:val="center"/>
        <w:rPr>
          <w:rFonts w:ascii="Times New Roman" w:hAnsi="Times New Roman" w:cs="Times New Roman"/>
          <w:b/>
          <w:sz w:val="24"/>
          <w:szCs w:val="24"/>
        </w:rPr>
      </w:pPr>
      <w:r w:rsidRPr="00227FB9">
        <w:rPr>
          <w:rFonts w:ascii="Times New Roman" w:hAnsi="Times New Roman" w:cs="Times New Roman"/>
          <w:b/>
          <w:sz w:val="24"/>
          <w:szCs w:val="24"/>
        </w:rPr>
        <w:t>CONCLUSION</w:t>
      </w:r>
    </w:p>
    <w:p w:rsidR="003F4494" w:rsidRDefault="003F4494" w:rsidP="003F4494">
      <w:pPr>
        <w:spacing w:after="0" w:line="360" w:lineRule="auto"/>
        <w:ind w:firstLine="720"/>
        <w:jc w:val="both"/>
      </w:pPr>
      <w:r>
        <w:rPr>
          <w:rFonts w:ascii="Times New Roman" w:hAnsi="Times New Roman" w:cs="Times New Roman"/>
          <w:sz w:val="24"/>
          <w:szCs w:val="24"/>
        </w:rPr>
        <w:t xml:space="preserve">While JEA is authorized to adopt a program to award employees bonuses, and has done so as recently as fiscal year 2018, the specific features of the Program present challenges past bonus programs do not.  Under Florida law, JEA would be legally required to make the Program available to all employees – which would include high-level employees who are involved or influence many if not all significant financial and operating decisions.  But, under Florida conflict of interest laws, no employee could participate in the making of a financial decision if he or she has a financial interest in that decision without first disclosing the financial interest and concluding that the financial interest is not in substantial conflict with the duties that employee has to act first and foremost in the public interest.   In our view, we believe this creates an unresolvable dilemma where JEA would either have to exclude several employees from the Program thereby rendering the Program in violation of Florida law or several employees would be unable to carry out their responsibilities under Florida conflict of interest laws. </w:t>
      </w:r>
    </w:p>
    <w:p w:rsidR="003F4494" w:rsidRDefault="003F4494" w:rsidP="003F44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addition, the narrowly focused goals of the Program could present challenges whether the Program is in furtherance of a legitimate “public purpose.”  Key to any expenditure or transfer of property by a municipality is whether that expenditure or transfer furthers a “public purpose.”  To protect it from a court having the ability to fully re-consider whether the Program were in furtherance of a “public purpose,” JEA’s Board would likely need to have a complete record as to the problem the Program solves and how the Program is reasonably connected to the solution of the problem.  To that end, the Program may present challenges if JEA’s Board narrowly articulates JEA’s purposes – as it exists for an array of public purposes and not just narrow financial ones – or broadly articulates JEA’s purposes and cannot explain why the narrow focus of the Program on a few financial goals reasonably furthers those more-broadly articulated goals.</w:t>
      </w:r>
    </w:p>
    <w:p w:rsidR="003F4494" w:rsidRPr="00606253" w:rsidRDefault="003F4494" w:rsidP="003F4494">
      <w:pPr>
        <w:spacing w:after="0" w:line="360" w:lineRule="auto"/>
        <w:ind w:firstLine="720"/>
        <w:jc w:val="both"/>
        <w:rPr>
          <w:rFonts w:ascii="Times New Roman" w:hAnsi="Times New Roman" w:cs="Times New Roman"/>
          <w:sz w:val="24"/>
          <w:szCs w:val="24"/>
        </w:rPr>
      </w:pPr>
    </w:p>
    <w:sectPr w:rsidR="003F4494" w:rsidRPr="006062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570" w:rsidRDefault="00A35570" w:rsidP="00F317B2">
      <w:pPr>
        <w:spacing w:after="0" w:line="240" w:lineRule="auto"/>
      </w:pPr>
      <w:r>
        <w:separator/>
      </w:r>
    </w:p>
  </w:endnote>
  <w:endnote w:type="continuationSeparator" w:id="0">
    <w:p w:rsidR="00A35570" w:rsidRDefault="00A35570" w:rsidP="00F31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DD" w:rsidRDefault="00557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0BD" w:rsidRDefault="005573DD">
    <w:pPr>
      <w:pStyle w:val="Footer"/>
      <w:jc w:val="center"/>
      <w:rPr>
        <w:rFonts w:ascii="Times New Roman" w:hAnsi="Times New Roman" w:cs="Times New Roman"/>
        <w:noProof/>
      </w:rPr>
    </w:pPr>
    <w:r w:rsidR="00551686" w:rsidRPr="009A0817">
      <w:rPr>
        <w:rFonts w:ascii="Times New Roman" w:hAnsi="Times New Roman" w:cs="Times New Roman"/>
      </w:rPr>
      <w:fldChar w:fldCharType="begin"/>
    </w:r>
    <w:r w:rsidR="00551686" w:rsidRPr="009A0817">
      <w:rPr>
        <w:rFonts w:ascii="Times New Roman" w:hAnsi="Times New Roman" w:cs="Times New Roman"/>
      </w:rPr>
      <w:instrText xml:space="preserve"> PAGE   \* MERGEFORMAT </w:instrText>
    </w:r>
    <w:r w:rsidR="00551686" w:rsidRPr="009A0817">
      <w:rPr>
        <w:rFonts w:ascii="Times New Roman" w:hAnsi="Times New Roman" w:cs="Times New Roman"/>
      </w:rPr>
      <w:fldChar w:fldCharType="separate"/>
    </w:r>
    <w:r>
      <w:rPr>
        <w:rFonts w:ascii="Times New Roman" w:hAnsi="Times New Roman" w:cs="Times New Roman"/>
        <w:noProof/>
      </w:rPr>
      <w:t>1</w:t>
    </w:r>
    <w:r w:rsidR="00551686" w:rsidRPr="009A0817">
      <w:rPr>
        <w:rFonts w:ascii="Times New Roman" w:hAnsi="Times New Roman" w:cs="Times New Roman"/>
        <w:noProof/>
      </w:rPr>
      <w:fldChar w:fldCharType="end"/>
    </w:r>
  </w:p>
  <w:p w:rsidR="005840BD" w:rsidRDefault="005573DD">
    <w:pPr>
      <w:pStyle w:val="Footer"/>
    </w:pPr>
    <w:r>
      <w:rPr>
        <w:noProof/>
      </w:rPr>
      <w:pict>
        <v:shapetype id="_x0000_t202" coordsize="21600,21600" o:spt="202" path="m,l,21600r21600,l21600,xe">
          <v:stroke joinstyle="miter"/>
          <v:path gradientshapeok="t" o:connecttype="rect"/>
        </v:shapetype>
        <v:shape id="zzmpTrailer_1078_19" o:spid="_x0000_s2093" type="#_x0000_t202"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4Z3FrAIAAKkFAAAOAAAAZHJzL2Uyb0RvYy54bWysVG1vmzAQ/j5p/8Hyd8pLSBpQSdWGME3q XqR2P8ABE6wZm9lOoJv233c2IU1bTZq28cE67PNz99w9vqvroeXoQJVmUmQ4vAgwoqKUFRO7DH95 KLwlRtoQUREuBc3wI9X4evX2zVXfpTSSjeQVVQhAhE77LsONMV3q+7psaEv0heyogMNaqpYY+FU7 v1KkB/SW+1EQLPxeqqpTsqRaw24+HuKVw69rWppPda2pQTzDkJtxq3Lr1q7+6oqkO0W6hpXHNMhf ZNESJiDoCSonhqC9Yq+gWlYqqWVtLkrZ+rKuWUkdB2ATBi/Y3Deko44LFEd3pzLp/wdbfjx8VohV GY4wEqSFFj3QwaBbOaDIVqfvdApO9x24mQG2ocuOqe7uZPlVIyHXDRE7eqOU7BtKKsgutDf9s6sj jrYg2/6DrCAM2RvpgIZatbZ0UAwE6NClx1NnbColbEbzRTCL4KiEs1kYz6K5C0HS6XantHlHZYus kWEFnXfo5HCnjc2GpJOLDSZkwTh33efi2QY4jjsQG67aM5uFa+aPJEg2y80y9uJosfHiIM+9m2Id e4sivJzns3y9zsOfNm4Ypw2rKipsmElYYfxnjTtKfJTESVpaclZZOJuSVrvtmit0ICDswn3Hgpy5 +c/TcEUALi8ohVEc3EaJVyyWl15cxHMvuQyWXhAmt8kiiJM4L55TumOC/jsl1Gc4mUMfHZ3fcgvc 95obSVtmYHRw1mZ4eXIiqZXgRlSutYYwPtpnpbDpP5UC2j012gnWanRUqxm2A6BYFW9l9QjSVRKU BSKEeQdGI9V3jHqYHRnW3/ZEUYz4ewHyt4NmMtRkbCeDiBKuZthgNJprMw6kfafYrgHk8YEJeQNP pGZOvU9ZHB8WzANH4ji77MA5/3deTxN29QsAAP//AwBQSwMEFAAGAAgAAAAhACnVynHbAAAABAEA AA8AAABkcnMvZG93bnJldi54bWxMj0FPwzAMhe9I/IfISNxYwoCJlabTNI0TEqIrB45p47XRGqc0 2Vb+PYYLXKxnPeu9z/lq8r044RhdIA23MwUCqQnWUavhvXq+eQQRkyFr+kCo4QsjrIrLi9xkNpyp xNMutYJDKGZGQ5fSkEkZmw69ibMwILG3D6M3idexlXY0Zw73vZwrtZDeOOKGzgy46bA57I5ew/qD yq37fK3fyn3pqmqp6GVx0Pr6alo/gUg4pb9j+MFndCiYqQ5HslH0GviR9DvZu1d3cxA1i+UDyCKX /+GLbwAAAP//AwBQSwECLQAUAAYACAAAACEAtoM4kv4AAADhAQAAEwAAAAAAAAAAAAAAAAAAAAAA W0NvbnRlbnRfVHlwZXNdLnhtbFBLAQItABQABgAIAAAAIQA4/SH/1gAAAJQBAAALAAAAAAAAAAAA AAAAAC8BAABfcmVscy8ucmVsc1BLAQItABQABgAIAAAAIQAY4Z3FrAIAAKkFAAAOAAAAAAAAAAAA AAAAAC4CAABkcnMvZTJvRG9jLnhtbFBLAQItABQABgAIAAAAIQAp1cpx2wAAAAQBAAAPAAAAAAAA AAAAAAAAAAYFAABkcnMvZG93bnJldi54bWxQSwUGAAAAAAQABADzAAAADgYAAAAA " filled="f" stroked="f">
          <v:textbox inset="0,0,0,0">
            <w:txbxContent>
              <w:p w:rsidR="005840BD" w:rsidRDefault="005840BD">
                <w:pPr>
                  <w:pStyle w:val="MacPacTrailer"/>
                </w:pPr>
                <w:r>
                  <w:t>4820-9203-1639.2</w:t>
                </w:r>
              </w:p>
              <w:p w:rsidR="005840BD" w:rsidRDefault="005840BD">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0BD" w:rsidRDefault="005573DD">
    <w:pPr>
      <w:pStyle w:val="Footer"/>
    </w:pPr>
    <w:r>
      <w:rPr>
        <w:noProof/>
      </w:rPr>
      <w:pict>
        <v:shapetype id="_x0000_t202" coordsize="21600,21600" o:spt="202" path="m,l,21600r21600,l21600,xe">
          <v:stroke joinstyle="miter"/>
          <v:path gradientshapeok="t" o:connecttype="rect"/>
        </v:shapetype>
        <v:shape id="zzmpTrailer_1078_1B" o:spid="_x0000_s2094" type="#_x0000_t202"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ccYargIAALAFAAAOAAAAZHJzL2Uyb0RvYy54bWysVG1vmzAQ/j5p/8Hyd8pLgAZUUrUhTJO6 F6ndD3DABGtgM9sJdNP++84mpGmrSdM2PqCzfX7unrvHd3U9di06UKmY4Bn2LzyMKC9Fxfguw18e CmeJkdKEV6QVnGb4kSp8vXr75mroUxqIRrQVlQhAuEqHPsON1n3quqpsaEfUhegph8NayI5oWMqd W0kyAHrXuoHnxe4gZNVLUVKlYDefDvHK4tc1LfWnulZUozbDkJu2f2n/W/N3V1ck3UnSN6w8pkH+ IouOMA5BT1A50QTtJXsF1bFSCiVqfVGKzhV1zUpqOQAb33vB5r4hPbVcoDiqP5VJ/T/Y8uPhs0Ss gt5hxEkHLXqgo0a3YkS+qc7QqxSc7ntw0yNsG0/DVPV3ovyqEBfrhvAdvZFSDA0lFWRnb7pnVycc ZUC2wwdRQRiy18ICjbXsDCAUAwE6dOnx1BmTSgmbQRR7iwCOSjhbRHGwiExyLknn271U+h0VHTJG hiV03qKTw53Sk+vsYoJxUbC2td1v+bMNwJx2IDZcNWcmC9vMH4mXbJabZeiEQbxxQi/PnZtiHTpx 4V9G+SJfr3P/p4nrh2nDqopyE2YWlh/+WeOOEp8kcZKWEi2rDJxJScnddt1KdCAg7MJ+x4KcubnP 07D1Ai4vKPlB6N0GiVPEy0snLMLISS69peP5yW0Se2ES5sVzSneM03+nhIYMJ1EQTWL6LTfPfq+5 kbRjGkZHy7oML09OJDUS3PDKtlYT1k72WSlM+k+lgHbPjbaCNRqd1KrH7Xh8GQBmxLwV1SMoWAoQ GGgRxh4YjZDfMRpghGRYfdsTSTFq33N4BWbezIacje1sEF7C1QxrjCZzrae5tO8l2zWAPL0zLm7g pdTMivgpC2BgFjAWLJfjCDNz53xtvZ4G7eoXAAAA//8DAFBLAwQUAAYACAAAACEAdCvne9sAAAAE AQAADwAAAGRycy9kb3ducmV2LnhtbEyPwU7DMBBE70j8g7VI3KjdAhGEOFWF4ISESMOB4ybeJlbj dYjdNvw9hgtcVhrNaOZtsZ7dII40BetZw3KhQBC33ljuNLzXz1d3IEJENjh4Jg1fFGBdnp8VmBt/ 4oqO29iJVMIhRw19jGMuZWh7chgWfiRO3s5PDmOSUyfNhKdU7ga5UiqTDi2nhR5Heuyp3W8PTsPm g6sn+/navFW7ytb1veKXbK/15cW8eQARaY5/YfjBT+hQJqbGH9gEMWhIj8Tfm7wbdb0C0Wi4zZYg y0L+hy+/AQAA//8DAFBLAQItABQABgAIAAAAIQC2gziS/gAAAOEBAAATAAAAAAAAAAAAAAAAAAAA AABbQ29udGVudF9UeXBlc10ueG1sUEsBAi0AFAAGAAgAAAAhADj9If/WAAAAlAEAAAsAAAAAAAAA AAAAAAAALwEAAF9yZWxzLy5yZWxzUEsBAi0AFAAGAAgAAAAhABdxxhquAgAAsAUAAA4AAAAAAAAA AAAAAAAALgIAAGRycy9lMm9Eb2MueG1sUEsBAi0AFAAGAAgAAAAhAHQr53vbAAAABAEAAA8AAAAA AAAAAAAAAAAACAUAAGRycy9kb3ducmV2LnhtbFBLBQYAAAAABAAEAPMAAAAQBgAAAAA= " filled="f" stroked="f">
          <v:textbox inset="0,0,0,0">
            <w:txbxContent>
              <w:p w:rsidR="005840BD" w:rsidRDefault="005840BD">
                <w:pPr>
                  <w:pStyle w:val="MacPacTrailer"/>
                </w:pPr>
                <w:r>
                  <w:t>4820-9203-1639.2</w:t>
                </w:r>
              </w:p>
              <w:p w:rsidR="005840BD" w:rsidRDefault="005840BD">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570" w:rsidRDefault="00A35570" w:rsidP="00F317B2">
      <w:pPr>
        <w:spacing w:after="0" w:line="240" w:lineRule="auto"/>
      </w:pPr>
      <w:r>
        <w:separator/>
      </w:r>
    </w:p>
  </w:footnote>
  <w:footnote w:type="continuationSeparator" w:id="0">
    <w:p w:rsidR="00A35570" w:rsidRDefault="00A35570" w:rsidP="00F317B2">
      <w:pPr>
        <w:spacing w:after="0" w:line="240" w:lineRule="auto"/>
      </w:pPr>
      <w:r>
        <w:continuationSeparator/>
      </w:r>
    </w:p>
  </w:footnote>
  <w:footnote w:id="1">
    <w:p w:rsidR="003F4494" w:rsidRPr="00F83801" w:rsidRDefault="003F4494" w:rsidP="003F4494">
      <w:pPr>
        <w:pStyle w:val="FootnoteText"/>
        <w:rPr>
          <w:rFonts w:ascii="Times New Roman" w:hAnsi="Times New Roman" w:cs="Times New Roman"/>
        </w:rPr>
      </w:pPr>
      <w:r w:rsidRPr="00F83801">
        <w:rPr>
          <w:rStyle w:val="FootnoteReference"/>
          <w:rFonts w:ascii="Times New Roman" w:hAnsi="Times New Roman" w:cs="Times New Roman"/>
        </w:rPr>
        <w:footnoteRef/>
      </w:r>
      <w:r w:rsidRPr="00F83801">
        <w:rPr>
          <w:rFonts w:ascii="Times New Roman" w:hAnsi="Times New Roman" w:cs="Times New Roman"/>
        </w:rPr>
        <w:t xml:space="preserve"> </w:t>
      </w:r>
      <w:r w:rsidRPr="00F83801">
        <w:rPr>
          <w:rFonts w:ascii="Times New Roman" w:hAnsi="Times New Roman" w:cs="Times New Roman"/>
          <w:i/>
        </w:rPr>
        <w:t xml:space="preserve">See </w:t>
      </w:r>
      <w:r w:rsidRPr="00F83801">
        <w:rPr>
          <w:rFonts w:ascii="Times New Roman" w:hAnsi="Times New Roman" w:cs="Times New Roman"/>
        </w:rPr>
        <w:t xml:space="preserve">Chapter 92-341, Special Acts, Laws of Florida; Establishing the JEA under the City’s charter. </w:t>
      </w:r>
    </w:p>
  </w:footnote>
  <w:footnote w:id="2">
    <w:p w:rsidR="003F4494" w:rsidRPr="00F83801" w:rsidRDefault="003F4494" w:rsidP="003F4494">
      <w:pPr>
        <w:pStyle w:val="FootnoteText"/>
        <w:rPr>
          <w:rFonts w:ascii="Times New Roman" w:hAnsi="Times New Roman" w:cs="Times New Roman"/>
        </w:rPr>
      </w:pPr>
      <w:r w:rsidRPr="00F83801">
        <w:rPr>
          <w:rStyle w:val="FootnoteReference"/>
          <w:rFonts w:ascii="Times New Roman" w:hAnsi="Times New Roman" w:cs="Times New Roman"/>
        </w:rPr>
        <w:footnoteRef/>
      </w:r>
      <w:r w:rsidRPr="00F83801">
        <w:rPr>
          <w:rFonts w:ascii="Times New Roman" w:hAnsi="Times New Roman" w:cs="Times New Roman"/>
        </w:rPr>
        <w:t xml:space="preserve"> </w:t>
      </w:r>
      <w:r w:rsidRPr="00F83801">
        <w:rPr>
          <w:rFonts w:ascii="Times New Roman" w:hAnsi="Times New Roman" w:cs="Times New Roman"/>
          <w:i/>
        </w:rPr>
        <w:t xml:space="preserve">See </w:t>
      </w:r>
      <w:r w:rsidRPr="00F83801">
        <w:rPr>
          <w:rFonts w:ascii="Times New Roman" w:hAnsi="Times New Roman" w:cs="Times New Roman"/>
        </w:rPr>
        <w:t>Laws of Fla. Ch. 78-538, §1.</w:t>
      </w:r>
    </w:p>
  </w:footnote>
  <w:footnote w:id="3">
    <w:p w:rsidR="003F4494" w:rsidRPr="00F83801" w:rsidRDefault="003F4494" w:rsidP="003F4494">
      <w:pPr>
        <w:pStyle w:val="FootnoteText"/>
        <w:rPr>
          <w:rFonts w:ascii="Times New Roman" w:hAnsi="Times New Roman" w:cs="Times New Roman"/>
        </w:rPr>
      </w:pPr>
      <w:r w:rsidRPr="00F83801">
        <w:rPr>
          <w:rStyle w:val="FootnoteReference"/>
          <w:rFonts w:ascii="Times New Roman" w:hAnsi="Times New Roman" w:cs="Times New Roman"/>
        </w:rPr>
        <w:footnoteRef/>
      </w:r>
      <w:r w:rsidRPr="00F83801">
        <w:rPr>
          <w:rFonts w:ascii="Times New Roman" w:hAnsi="Times New Roman" w:cs="Times New Roman"/>
        </w:rPr>
        <w:t xml:space="preserve"> </w:t>
      </w:r>
      <w:r w:rsidRPr="00F83801">
        <w:rPr>
          <w:rFonts w:ascii="Times New Roman" w:hAnsi="Times New Roman" w:cs="Times New Roman"/>
          <w:i/>
        </w:rPr>
        <w:t>See</w:t>
      </w:r>
      <w:r w:rsidRPr="00F83801">
        <w:rPr>
          <w:rFonts w:ascii="Times New Roman" w:hAnsi="Times New Roman" w:cs="Times New Roman"/>
        </w:rPr>
        <w:t xml:space="preserve"> City of Jacksonville, Florida, Municipal Code §21.05.</w:t>
      </w:r>
    </w:p>
  </w:footnote>
  <w:footnote w:id="4">
    <w:p w:rsidR="003F4494" w:rsidRPr="00F83801" w:rsidRDefault="003F4494" w:rsidP="003F4494">
      <w:pPr>
        <w:pStyle w:val="FootnoteText"/>
        <w:rPr>
          <w:rFonts w:ascii="Times New Roman" w:hAnsi="Times New Roman" w:cs="Times New Roman"/>
        </w:rPr>
      </w:pPr>
      <w:r w:rsidRPr="00F83801">
        <w:rPr>
          <w:rStyle w:val="FootnoteReference"/>
          <w:rFonts w:ascii="Times New Roman" w:hAnsi="Times New Roman" w:cs="Times New Roman"/>
        </w:rPr>
        <w:footnoteRef/>
      </w:r>
      <w:r w:rsidRPr="00F83801">
        <w:rPr>
          <w:rFonts w:ascii="Times New Roman" w:hAnsi="Times New Roman" w:cs="Times New Roman"/>
        </w:rPr>
        <w:t xml:space="preserve"> This memorandum does not address issues of Federal law that are applicable to employee incentive programs.</w:t>
      </w:r>
    </w:p>
  </w:footnote>
  <w:footnote w:id="5">
    <w:p w:rsidR="003F4494" w:rsidRPr="00F83801" w:rsidRDefault="003F4494" w:rsidP="003F4494">
      <w:pPr>
        <w:pStyle w:val="FootnoteText"/>
        <w:rPr>
          <w:rFonts w:ascii="Times New Roman" w:hAnsi="Times New Roman" w:cs="Times New Roman"/>
        </w:rPr>
      </w:pPr>
      <w:r w:rsidRPr="00F83801">
        <w:rPr>
          <w:rStyle w:val="FootnoteReference"/>
          <w:rFonts w:ascii="Times New Roman" w:hAnsi="Times New Roman" w:cs="Times New Roman"/>
        </w:rPr>
        <w:footnoteRef/>
      </w:r>
      <w:r w:rsidRPr="00F83801">
        <w:rPr>
          <w:rFonts w:ascii="Times New Roman" w:hAnsi="Times New Roman" w:cs="Times New Roman"/>
        </w:rPr>
        <w:t xml:space="preserve"> </w:t>
      </w:r>
      <w:r w:rsidRPr="00F83801">
        <w:rPr>
          <w:rFonts w:ascii="Times New Roman" w:hAnsi="Times New Roman" w:cs="Times New Roman"/>
          <w:i/>
        </w:rPr>
        <w:t xml:space="preserve">See Id. </w:t>
      </w:r>
      <w:r w:rsidRPr="00F83801">
        <w:rPr>
          <w:rFonts w:ascii="Times New Roman" w:hAnsi="Times New Roman" w:cs="Times New Roman"/>
        </w:rPr>
        <w:t xml:space="preserve">at 21.01. </w:t>
      </w:r>
    </w:p>
  </w:footnote>
  <w:footnote w:id="6">
    <w:p w:rsidR="003F4494" w:rsidRPr="00F83801" w:rsidRDefault="003F4494" w:rsidP="003F4494">
      <w:pPr>
        <w:pStyle w:val="FootnoteText"/>
        <w:rPr>
          <w:rFonts w:ascii="Times New Roman" w:hAnsi="Times New Roman" w:cs="Times New Roman"/>
        </w:rPr>
      </w:pPr>
      <w:r w:rsidRPr="00F83801">
        <w:rPr>
          <w:rStyle w:val="FootnoteReference"/>
          <w:rFonts w:ascii="Times New Roman" w:hAnsi="Times New Roman" w:cs="Times New Roman"/>
        </w:rPr>
        <w:footnoteRef/>
      </w:r>
      <w:r w:rsidRPr="00F83801">
        <w:rPr>
          <w:rFonts w:ascii="Times New Roman" w:hAnsi="Times New Roman" w:cs="Times New Roman"/>
        </w:rPr>
        <w:t xml:space="preserve"> </w:t>
      </w:r>
      <w:r w:rsidRPr="00F83801">
        <w:rPr>
          <w:rFonts w:ascii="Times New Roman" w:hAnsi="Times New Roman" w:cs="Times New Roman"/>
          <w:i/>
        </w:rPr>
        <w:t xml:space="preserve">See </w:t>
      </w:r>
      <w:r w:rsidRPr="00F83801">
        <w:rPr>
          <w:rFonts w:ascii="Times New Roman" w:hAnsi="Times New Roman" w:cs="Times New Roman"/>
        </w:rPr>
        <w:t xml:space="preserve">City of Jacksonville, Florida, Municipal Code §116.1101; regulations granting authority and governing the establishment of an employee incentive program. </w:t>
      </w:r>
    </w:p>
  </w:footnote>
  <w:footnote w:id="7">
    <w:p w:rsidR="003F4494" w:rsidRPr="00F83801" w:rsidRDefault="003F4494" w:rsidP="003F4494">
      <w:pPr>
        <w:pStyle w:val="FootnoteText"/>
        <w:rPr>
          <w:rFonts w:ascii="Times New Roman" w:hAnsi="Times New Roman" w:cs="Times New Roman"/>
        </w:rPr>
      </w:pPr>
      <w:r>
        <w:rPr>
          <w:rStyle w:val="FootnoteReference"/>
        </w:rPr>
        <w:footnoteRef/>
      </w:r>
      <w:r>
        <w:t xml:space="preserve"> </w:t>
      </w:r>
      <w:r w:rsidRPr="00F83801">
        <w:rPr>
          <w:rFonts w:ascii="Times New Roman" w:hAnsi="Times New Roman" w:cs="Times New Roman"/>
          <w:i/>
        </w:rPr>
        <w:t>See Id.</w:t>
      </w:r>
    </w:p>
  </w:footnote>
  <w:footnote w:id="8">
    <w:p w:rsidR="003F4494" w:rsidRPr="00B35C04" w:rsidRDefault="003F4494" w:rsidP="003F4494">
      <w:pPr>
        <w:pStyle w:val="FootnoteText"/>
        <w:rPr>
          <w:rFonts w:ascii="Times New Roman" w:hAnsi="Times New Roman" w:cs="Times New Roman"/>
        </w:rPr>
      </w:pPr>
      <w:r w:rsidRPr="00F83801">
        <w:rPr>
          <w:rStyle w:val="FootnoteReference"/>
          <w:rFonts w:ascii="Times New Roman" w:hAnsi="Times New Roman" w:cs="Times New Roman"/>
        </w:rPr>
        <w:footnoteRef/>
      </w:r>
      <w:r w:rsidRPr="00F83801">
        <w:rPr>
          <w:rFonts w:ascii="Times New Roman" w:hAnsi="Times New Roman" w:cs="Times New Roman"/>
        </w:rPr>
        <w:t xml:space="preserve"> In addition to authorizing employee incentive programs, the City’s Municipal Ordinance Code Title V, Chapter 116, Part 10 (the “Employee Suggestion Plan Ordinance”) expressly provides for the creation by the Mayor of “a program of meritorious awards to employees who propose procedures or ideas which are adopted and which will result in eliminating or reducing City expenditures or improving operations or who, by their superior </w:t>
      </w:r>
      <w:r w:rsidRPr="00B35C04">
        <w:rPr>
          <w:rFonts w:ascii="Times New Roman" w:hAnsi="Times New Roman" w:cs="Times New Roman"/>
        </w:rPr>
        <w:t>accomplishments, make exceptional contributions to the efficiency, economy or other improvement in the operations of City government.”   The Employee Suggestion Plan Ordinance also specifies that all</w:t>
      </w:r>
      <w:r w:rsidRPr="00B35C04">
        <w:rPr>
          <w:rFonts w:ascii="Times New Roman" w:hAnsi="Times New Roman" w:cs="Times New Roman"/>
          <w:lang w:val="en"/>
        </w:rPr>
        <w:t xml:space="preserve"> suggestions meriting an award shall be classified as having tangible or intangible value and that no award shall exceed $1,000, except that the Council may approve a larger award in exceptional cases.</w:t>
      </w:r>
      <w:r w:rsidRPr="00B35C04">
        <w:rPr>
          <w:rStyle w:val="FootnoteReference"/>
          <w:rFonts w:ascii="Times New Roman" w:hAnsi="Times New Roman" w:cs="Times New Roman"/>
        </w:rPr>
        <w:t xml:space="preserve"> </w:t>
      </w:r>
      <w:r w:rsidRPr="00B35C04">
        <w:rPr>
          <w:rFonts w:ascii="Times New Roman" w:hAnsi="Times New Roman" w:cs="Times New Roman"/>
        </w:rPr>
        <w:t xml:space="preserve"> We have not addressed the Employee Suggestion Plan Ordinance because it would not provide a legal basis for the implementation of the Program.</w:t>
      </w:r>
    </w:p>
  </w:footnote>
  <w:footnote w:id="9">
    <w:p w:rsidR="003F4494" w:rsidRDefault="003F4494" w:rsidP="003F4494">
      <w:pPr>
        <w:pStyle w:val="FootnoteText"/>
      </w:pPr>
      <w:r w:rsidRPr="00B35C04">
        <w:rPr>
          <w:rStyle w:val="FootnoteReference"/>
          <w:rFonts w:ascii="Times New Roman" w:hAnsi="Times New Roman" w:cs="Times New Roman"/>
        </w:rPr>
        <w:footnoteRef/>
      </w:r>
      <w:r w:rsidRPr="00B35C04">
        <w:rPr>
          <w:rFonts w:ascii="Times New Roman" w:hAnsi="Times New Roman" w:cs="Times New Roman"/>
        </w:rPr>
        <w:t xml:space="preserve"> Section </w:t>
      </w:r>
      <w:r>
        <w:rPr>
          <w:rFonts w:ascii="Times New Roman" w:hAnsi="Times New Roman" w:cs="Times New Roman"/>
        </w:rPr>
        <w:t xml:space="preserve">Fla. Stat. §116.1005 contains express authorization for JEA to create </w:t>
      </w:r>
      <w:r w:rsidRPr="00B35C04">
        <w:rPr>
          <w:rFonts w:ascii="Times New Roman" w:hAnsi="Times New Roman" w:cs="Times New Roman"/>
        </w:rPr>
        <w:t>a</w:t>
      </w:r>
      <w:r>
        <w:rPr>
          <w:rFonts w:ascii="Times New Roman" w:hAnsi="Times New Roman" w:cs="Times New Roman"/>
        </w:rPr>
        <w:t xml:space="preserve">n employee suggestion plan for </w:t>
      </w:r>
      <w:r w:rsidRPr="00B35C04">
        <w:rPr>
          <w:rFonts w:ascii="Times New Roman" w:hAnsi="Times New Roman" w:cs="Times New Roman"/>
        </w:rPr>
        <w:t>meritorious awards to emplo</w:t>
      </w:r>
      <w:r>
        <w:rPr>
          <w:rFonts w:ascii="Times New Roman" w:hAnsi="Times New Roman" w:cs="Times New Roman"/>
        </w:rPr>
        <w:t>yees of J</w:t>
      </w:r>
      <w:r w:rsidRPr="00B35C04">
        <w:rPr>
          <w:rFonts w:ascii="Times New Roman" w:hAnsi="Times New Roman" w:cs="Times New Roman"/>
        </w:rPr>
        <w:t xml:space="preserve">EA who </w:t>
      </w:r>
      <w:r>
        <w:rPr>
          <w:rFonts w:ascii="Times New Roman" w:hAnsi="Times New Roman" w:cs="Times New Roman"/>
        </w:rPr>
        <w:t xml:space="preserve">(a) </w:t>
      </w:r>
      <w:r w:rsidRPr="00B35C04">
        <w:rPr>
          <w:rFonts w:ascii="Times New Roman" w:hAnsi="Times New Roman" w:cs="Times New Roman"/>
        </w:rPr>
        <w:t>propose procedures or ideas which are adopted and which will resul</w:t>
      </w:r>
      <w:r>
        <w:rPr>
          <w:rFonts w:ascii="Times New Roman" w:hAnsi="Times New Roman" w:cs="Times New Roman"/>
        </w:rPr>
        <w:t>t in eliminating or reducing</w:t>
      </w:r>
      <w:r w:rsidRPr="00B35C04">
        <w:rPr>
          <w:rFonts w:ascii="Times New Roman" w:hAnsi="Times New Roman" w:cs="Times New Roman"/>
        </w:rPr>
        <w:t xml:space="preserve"> JEA's expenditures or </w:t>
      </w:r>
      <w:r>
        <w:rPr>
          <w:rFonts w:ascii="Times New Roman" w:hAnsi="Times New Roman" w:cs="Times New Roman"/>
        </w:rPr>
        <w:t xml:space="preserve">improving JEA's operations or (b) </w:t>
      </w:r>
      <w:r w:rsidRPr="00B35C04">
        <w:rPr>
          <w:rFonts w:ascii="Times New Roman" w:hAnsi="Times New Roman" w:cs="Times New Roman"/>
        </w:rPr>
        <w:t>by their superior accomplishments, make exceptional contributions to the efficiency, economy or other improveme</w:t>
      </w:r>
      <w:r>
        <w:rPr>
          <w:rFonts w:ascii="Times New Roman" w:hAnsi="Times New Roman" w:cs="Times New Roman"/>
        </w:rPr>
        <w:t xml:space="preserve">nt in the operations of </w:t>
      </w:r>
      <w:r w:rsidRPr="00B35C04">
        <w:rPr>
          <w:rFonts w:ascii="Times New Roman" w:hAnsi="Times New Roman" w:cs="Times New Roman"/>
        </w:rPr>
        <w:t>JEA</w:t>
      </w:r>
      <w:r>
        <w:rPr>
          <w:rFonts w:ascii="Times New Roman" w:hAnsi="Times New Roman" w:cs="Times New Roman"/>
        </w:rPr>
        <w:t>.</w:t>
      </w:r>
    </w:p>
  </w:footnote>
  <w:footnote w:id="10">
    <w:p w:rsidR="003F4494" w:rsidRPr="00F83801" w:rsidRDefault="003F4494" w:rsidP="003F4494">
      <w:pPr>
        <w:pStyle w:val="FootnoteText"/>
        <w:rPr>
          <w:rFonts w:ascii="Times New Roman" w:hAnsi="Times New Roman" w:cs="Times New Roman"/>
        </w:rPr>
      </w:pPr>
      <w:r w:rsidRPr="00F83801">
        <w:rPr>
          <w:rStyle w:val="FootnoteReference"/>
          <w:rFonts w:ascii="Times New Roman" w:hAnsi="Times New Roman" w:cs="Times New Roman"/>
        </w:rPr>
        <w:footnoteRef/>
      </w:r>
      <w:r w:rsidRPr="00F83801">
        <w:rPr>
          <w:rFonts w:ascii="Times New Roman" w:hAnsi="Times New Roman" w:cs="Times New Roman"/>
        </w:rPr>
        <w:t xml:space="preserve"> </w:t>
      </w:r>
      <w:r w:rsidRPr="00F83801">
        <w:rPr>
          <w:rFonts w:ascii="Times New Roman" w:hAnsi="Times New Roman" w:cs="Times New Roman"/>
          <w:i/>
        </w:rPr>
        <w:t xml:space="preserve">See </w:t>
      </w:r>
      <w:r w:rsidRPr="00F83801">
        <w:rPr>
          <w:rFonts w:ascii="Times New Roman" w:hAnsi="Times New Roman" w:cs="Times New Roman"/>
        </w:rPr>
        <w:t xml:space="preserve">Fla. Stat. §215.425(1) and (3); Section 3 was included through amendment in 2011 specifically to allow public agencies to administer bonus schemes for public employees, notwithstanding section 1 of the same. </w:t>
      </w:r>
    </w:p>
  </w:footnote>
  <w:footnote w:id="11">
    <w:p w:rsidR="003F4494" w:rsidRPr="00F83801" w:rsidRDefault="003F4494" w:rsidP="003F4494">
      <w:pPr>
        <w:pStyle w:val="FootnoteText"/>
        <w:rPr>
          <w:rFonts w:ascii="Times New Roman" w:hAnsi="Times New Roman" w:cs="Times New Roman"/>
        </w:rPr>
      </w:pPr>
      <w:r w:rsidRPr="00F83801">
        <w:rPr>
          <w:rStyle w:val="FootnoteReference"/>
          <w:rFonts w:ascii="Times New Roman" w:hAnsi="Times New Roman" w:cs="Times New Roman"/>
        </w:rPr>
        <w:footnoteRef/>
      </w:r>
      <w:r w:rsidRPr="00F83801">
        <w:rPr>
          <w:rFonts w:ascii="Times New Roman" w:hAnsi="Times New Roman" w:cs="Times New Roman"/>
        </w:rPr>
        <w:t xml:space="preserve"> </w:t>
      </w:r>
      <w:r w:rsidRPr="00F83801">
        <w:rPr>
          <w:rFonts w:ascii="Times New Roman" w:hAnsi="Times New Roman" w:cs="Times New Roman"/>
          <w:i/>
        </w:rPr>
        <w:t xml:space="preserve">See </w:t>
      </w:r>
      <w:r w:rsidRPr="00F83801">
        <w:rPr>
          <w:rFonts w:ascii="Times New Roman" w:hAnsi="Times New Roman" w:cs="Times New Roman"/>
        </w:rPr>
        <w:t xml:space="preserve">Fla. Stat. §215.425(3)(2011). </w:t>
      </w:r>
    </w:p>
  </w:footnote>
  <w:footnote w:id="12">
    <w:p w:rsidR="00280F3A" w:rsidRPr="00280F3A" w:rsidRDefault="00280F3A">
      <w:pPr>
        <w:pStyle w:val="FootnoteText"/>
        <w:rPr>
          <w:i/>
        </w:rPr>
      </w:pPr>
      <w:r>
        <w:rPr>
          <w:rStyle w:val="FootnoteReference"/>
        </w:rPr>
        <w:footnoteRef/>
      </w:r>
      <w:r>
        <w:t xml:space="preserve"> </w:t>
      </w:r>
      <w:r w:rsidRPr="00280F3A">
        <w:rPr>
          <w:rFonts w:ascii="Times New Roman" w:hAnsi="Times New Roman" w:cs="Times New Roman"/>
          <w:i/>
        </w:rPr>
        <w:t xml:space="preserve">See Fla. Stat. </w:t>
      </w:r>
      <w:r w:rsidRPr="00280F3A">
        <w:rPr>
          <w:rFonts w:ascii="Times New Roman" w:hAnsi="Times New Roman" w:cs="Times New Roman"/>
        </w:rPr>
        <w:t>§192.001(11)(b).</w:t>
      </w:r>
    </w:p>
  </w:footnote>
  <w:footnote w:id="13">
    <w:p w:rsidR="003F4494" w:rsidRPr="00144086" w:rsidRDefault="003F4494" w:rsidP="003F4494">
      <w:pPr>
        <w:pStyle w:val="FootnoteText"/>
        <w:rPr>
          <w:rFonts w:ascii="Times New Roman" w:hAnsi="Times New Roman" w:cs="Times New Roman"/>
        </w:rPr>
      </w:pPr>
      <w:r>
        <w:rPr>
          <w:rStyle w:val="FootnoteReference"/>
        </w:rPr>
        <w:footnoteRef/>
      </w:r>
      <w:r>
        <w:t xml:space="preserve"> </w:t>
      </w:r>
      <w:r w:rsidRPr="00D13704">
        <w:rPr>
          <w:rFonts w:ascii="Times New Roman" w:hAnsi="Times New Roman" w:cs="Times New Roman"/>
          <w:i/>
        </w:rPr>
        <w:t>See</w:t>
      </w:r>
      <w:r w:rsidRPr="00D13704">
        <w:rPr>
          <w:rFonts w:ascii="Times New Roman" w:hAnsi="Times New Roman" w:cs="Times New Roman"/>
        </w:rPr>
        <w:t xml:space="preserve"> Charter</w:t>
      </w:r>
      <w:r>
        <w:rPr>
          <w:rFonts w:ascii="Times New Roman" w:hAnsi="Times New Roman" w:cs="Times New Roman"/>
        </w:rPr>
        <w:t xml:space="preserve"> of </w:t>
      </w:r>
      <w:r w:rsidRPr="00144086">
        <w:rPr>
          <w:rFonts w:ascii="Times New Roman" w:hAnsi="Times New Roman" w:cs="Times New Roman"/>
        </w:rPr>
        <w:t>the City of Jacksonville, Part A §1.201.</w:t>
      </w:r>
    </w:p>
  </w:footnote>
  <w:footnote w:id="14">
    <w:p w:rsidR="003F4494" w:rsidRPr="00144086" w:rsidRDefault="003F4494" w:rsidP="003F4494">
      <w:pPr>
        <w:pStyle w:val="FootnoteText"/>
        <w:rPr>
          <w:rFonts w:ascii="Times New Roman" w:hAnsi="Times New Roman" w:cs="Times New Roman"/>
          <w:i/>
        </w:rPr>
      </w:pPr>
      <w:r w:rsidRPr="00144086">
        <w:rPr>
          <w:rStyle w:val="FootnoteReference"/>
          <w:rFonts w:ascii="Times New Roman" w:hAnsi="Times New Roman" w:cs="Times New Roman"/>
        </w:rPr>
        <w:footnoteRef/>
      </w:r>
      <w:r w:rsidRPr="00144086">
        <w:rPr>
          <w:rFonts w:ascii="Times New Roman" w:hAnsi="Times New Roman" w:cs="Times New Roman"/>
        </w:rPr>
        <w:t xml:space="preserve"> </w:t>
      </w:r>
      <w:r w:rsidRPr="00144086">
        <w:rPr>
          <w:rFonts w:ascii="Times New Roman" w:hAnsi="Times New Roman" w:cs="Times New Roman"/>
          <w:i/>
        </w:rPr>
        <w:t xml:space="preserve">See </w:t>
      </w:r>
      <w:r w:rsidRPr="00144086">
        <w:rPr>
          <w:rFonts w:ascii="Times New Roman" w:hAnsi="Times New Roman" w:cs="Times New Roman"/>
        </w:rPr>
        <w:t>City of Jacksonville, Florida, Municipal Code §602.1203.</w:t>
      </w:r>
    </w:p>
  </w:footnote>
  <w:footnote w:id="15">
    <w:p w:rsidR="003F4494" w:rsidRPr="00F83801" w:rsidRDefault="003F4494" w:rsidP="003F4494">
      <w:pPr>
        <w:pStyle w:val="FootnoteText"/>
        <w:rPr>
          <w:rFonts w:ascii="Times New Roman" w:hAnsi="Times New Roman" w:cs="Times New Roman"/>
        </w:rPr>
      </w:pPr>
      <w:r w:rsidRPr="00F83801">
        <w:rPr>
          <w:rStyle w:val="FootnoteReference"/>
          <w:rFonts w:ascii="Times New Roman" w:hAnsi="Times New Roman" w:cs="Times New Roman"/>
        </w:rPr>
        <w:footnoteRef/>
      </w:r>
      <w:r w:rsidRPr="00F83801">
        <w:rPr>
          <w:rFonts w:ascii="Times New Roman" w:hAnsi="Times New Roman" w:cs="Times New Roman"/>
        </w:rPr>
        <w:t xml:space="preserve"> The City’s ethics code may also create some concerns in that it requires employees to perform their responsibilities “regardless of personal considerations.”   </w:t>
      </w:r>
    </w:p>
  </w:footnote>
  <w:footnote w:id="16">
    <w:p w:rsidR="003F4494" w:rsidRDefault="003F4494" w:rsidP="003F4494">
      <w:pPr>
        <w:pStyle w:val="FootnoteText"/>
      </w:pPr>
      <w:r>
        <w:rPr>
          <w:rStyle w:val="FootnoteReference"/>
        </w:rPr>
        <w:footnoteRef/>
      </w:r>
      <w:r>
        <w:t xml:space="preserve"> </w:t>
      </w:r>
      <w:r w:rsidRPr="00A45EF8">
        <w:rPr>
          <w:rFonts w:ascii="Times New Roman" w:hAnsi="Times New Roman" w:cs="Times New Roman"/>
        </w:rPr>
        <w:t>The term “participate”</w:t>
      </w:r>
      <w:r>
        <w:rPr>
          <w:rFonts w:ascii="Times New Roman" w:hAnsi="Times New Roman" w:cs="Times New Roman"/>
        </w:rPr>
        <w:t xml:space="preserve"> is defined in section 112.3143(4)(c), Florida Statutes,</w:t>
      </w:r>
      <w:r w:rsidRPr="00A45EF8">
        <w:rPr>
          <w:rFonts w:ascii="Times New Roman" w:hAnsi="Times New Roman" w:cs="Times New Roman"/>
        </w:rPr>
        <w:t xml:space="preserve"> </w:t>
      </w:r>
      <w:r>
        <w:rPr>
          <w:rFonts w:ascii="Times New Roman" w:hAnsi="Times New Roman" w:cs="Times New Roman"/>
        </w:rPr>
        <w:t xml:space="preserve">to </w:t>
      </w:r>
      <w:r w:rsidRPr="00A45EF8">
        <w:rPr>
          <w:rFonts w:ascii="Times New Roman" w:hAnsi="Times New Roman" w:cs="Times New Roman"/>
        </w:rPr>
        <w:t xml:space="preserve">mean </w:t>
      </w:r>
      <w:r>
        <w:rPr>
          <w:rFonts w:ascii="Times New Roman" w:hAnsi="Times New Roman" w:cs="Times New Roman"/>
        </w:rPr>
        <w:t>“</w:t>
      </w:r>
      <w:r w:rsidRPr="00A45EF8">
        <w:rPr>
          <w:rFonts w:ascii="Times New Roman" w:hAnsi="Times New Roman" w:cs="Times New Roman"/>
        </w:rPr>
        <w:t>any attempt to influence the decision by oral or written communication, whether made by the</w:t>
      </w:r>
      <w:r w:rsidRPr="006958CE">
        <w:rPr>
          <w:rFonts w:ascii="Times New Roman" w:hAnsi="Times New Roman" w:cs="Times New Roman"/>
        </w:rPr>
        <w:t xml:space="preserve"> officer or at the officer’s direction</w:t>
      </w:r>
      <w:r>
        <w:rPr>
          <w:rFonts w:ascii="Arial" w:hAnsi="Arial" w:cs="Arial"/>
          <w:color w:val="000000"/>
          <w:lang w:val="en"/>
        </w:rPr>
        <w:t>.</w:t>
      </w:r>
      <w:r w:rsidRPr="00F83801">
        <w:rPr>
          <w:rFonts w:ascii="Times New Roman" w:hAnsi="Times New Roman" w:cs="Times New Roman"/>
        </w:rPr>
        <w:t xml:space="preserve">”  </w:t>
      </w:r>
    </w:p>
  </w:footnote>
  <w:footnote w:id="17">
    <w:p w:rsidR="003F4494" w:rsidRPr="00B91365" w:rsidRDefault="003F4494" w:rsidP="003F4494">
      <w:pPr>
        <w:pStyle w:val="FootnoteText"/>
        <w:rPr>
          <w:rFonts w:ascii="Times New Roman" w:hAnsi="Times New Roman" w:cs="Times New Roman"/>
        </w:rPr>
      </w:pPr>
      <w:r>
        <w:rPr>
          <w:rStyle w:val="FootnoteReference"/>
        </w:rPr>
        <w:footnoteRef/>
      </w:r>
      <w:r>
        <w:t xml:space="preserve"> </w:t>
      </w:r>
      <w:r w:rsidRPr="00B91365">
        <w:rPr>
          <w:rFonts w:ascii="Times New Roman" w:hAnsi="Times New Roman" w:cs="Times New Roman"/>
        </w:rPr>
        <w:t>JEA’s Pay for Performance Program tracks five key metrics: (1) Customer Satisfaction; (2) Safety; (3) Cost per unit of Electricity delivered (Kwh); (4) Cost per unit of Water delivered (Kgal); and (5) Cost per unit of Wastewater collected (Kgal). See JEA Board Meeting Agenda Item Summary, October 24, 2018.</w:t>
      </w:r>
    </w:p>
  </w:footnote>
  <w:footnote w:id="18">
    <w:p w:rsidR="003F4494" w:rsidRPr="00B91365" w:rsidRDefault="003F4494" w:rsidP="003F4494">
      <w:pPr>
        <w:pStyle w:val="FootnoteText"/>
        <w:rPr>
          <w:rFonts w:ascii="Times New Roman" w:hAnsi="Times New Roman" w:cs="Times New Roman"/>
        </w:rPr>
      </w:pPr>
      <w:r w:rsidRPr="00B91365">
        <w:rPr>
          <w:rStyle w:val="FootnoteReference"/>
          <w:rFonts w:ascii="Times New Roman" w:hAnsi="Times New Roman" w:cs="Times New Roman"/>
        </w:rPr>
        <w:footnoteRef/>
      </w:r>
      <w:r w:rsidRPr="00B91365">
        <w:rPr>
          <w:rFonts w:ascii="Times New Roman" w:hAnsi="Times New Roman" w:cs="Times New Roman"/>
        </w:rPr>
        <w:t xml:space="preserve"> See Douglas J. Sale, </w:t>
      </w:r>
      <w:r w:rsidRPr="00B91365">
        <w:rPr>
          <w:rFonts w:ascii="Times New Roman" w:hAnsi="Times New Roman" w:cs="Times New Roman"/>
          <w:u w:val="single"/>
        </w:rPr>
        <w:t>Free Enterprise vs. Economic Incentives: The Evolution of the “Public Purpose” Fulcrum</w:t>
      </w:r>
      <w:r w:rsidRPr="00B91365">
        <w:rPr>
          <w:rFonts w:ascii="Times New Roman" w:hAnsi="Times New Roman" w:cs="Times New Roman"/>
        </w:rPr>
        <w:t>, Stetson Law Review, Vol. 46 482, at 483 (2017)</w:t>
      </w:r>
    </w:p>
  </w:footnote>
  <w:footnote w:id="19">
    <w:p w:rsidR="003F4494" w:rsidRPr="00B91365" w:rsidRDefault="003F4494" w:rsidP="003F4494">
      <w:pPr>
        <w:pStyle w:val="FootnoteText"/>
        <w:rPr>
          <w:rFonts w:ascii="Times New Roman" w:hAnsi="Times New Roman" w:cs="Times New Roman"/>
        </w:rPr>
      </w:pPr>
      <w:r w:rsidRPr="00B91365">
        <w:rPr>
          <w:rStyle w:val="FootnoteReference"/>
          <w:rFonts w:ascii="Times New Roman" w:hAnsi="Times New Roman" w:cs="Times New Roman"/>
        </w:rPr>
        <w:footnoteRef/>
      </w:r>
      <w:r w:rsidRPr="00B91365">
        <w:rPr>
          <w:rFonts w:ascii="Times New Roman" w:hAnsi="Times New Roman" w:cs="Times New Roman"/>
        </w:rPr>
        <w:t xml:space="preserve">See Douglas J. Sale, </w:t>
      </w:r>
      <w:r w:rsidRPr="00B91365">
        <w:rPr>
          <w:rFonts w:ascii="Times New Roman" w:hAnsi="Times New Roman" w:cs="Times New Roman"/>
          <w:u w:val="single"/>
        </w:rPr>
        <w:t>Free Enterprise vs. Economic Incentives: The Evolution of the “Public Purpose” Fulcrum</w:t>
      </w:r>
      <w:r w:rsidRPr="00B91365">
        <w:rPr>
          <w:rFonts w:ascii="Times New Roman" w:hAnsi="Times New Roman" w:cs="Times New Roman"/>
        </w:rPr>
        <w:t>, Stetson Law Review, Vol. 46 482, at 483 (2017)</w:t>
      </w:r>
    </w:p>
  </w:footnote>
  <w:footnote w:id="20">
    <w:p w:rsidR="003F4494" w:rsidRPr="00B91365" w:rsidRDefault="003F4494" w:rsidP="003F4494">
      <w:pPr>
        <w:pStyle w:val="FootnoteText"/>
        <w:rPr>
          <w:rFonts w:ascii="Times New Roman" w:hAnsi="Times New Roman" w:cs="Times New Roman"/>
        </w:rPr>
      </w:pPr>
      <w:r w:rsidRPr="00B91365">
        <w:rPr>
          <w:rStyle w:val="FootnoteReference"/>
          <w:rFonts w:ascii="Times New Roman" w:hAnsi="Times New Roman" w:cs="Times New Roman"/>
        </w:rPr>
        <w:footnoteRef/>
      </w:r>
      <w:r w:rsidRPr="00B91365">
        <w:rPr>
          <w:rFonts w:ascii="Times New Roman" w:hAnsi="Times New Roman" w:cs="Times New Roman"/>
        </w:rPr>
        <w:t xml:space="preserve"> See </w:t>
      </w:r>
      <w:r w:rsidRPr="00B91365">
        <w:rPr>
          <w:rFonts w:ascii="Times New Roman" w:hAnsi="Times New Roman" w:cs="Times New Roman"/>
          <w:i/>
        </w:rPr>
        <w:t>Poe v. Hillsborough County</w:t>
      </w:r>
      <w:r w:rsidRPr="00B91365">
        <w:rPr>
          <w:rFonts w:ascii="Times New Roman" w:hAnsi="Times New Roman" w:cs="Times New Roman"/>
        </w:rPr>
        <w:t>, 695 So. 2d, 672, 675 (Fla. 1997) (holding that “a bond issue does not violate [A]rticle VII, [s]ection 10 so long as the project serves a ‘paramount public purpose,’ and any benefits to private parties from the project are incidental”).</w:t>
      </w:r>
    </w:p>
  </w:footnote>
  <w:footnote w:id="21">
    <w:p w:rsidR="00320EAF" w:rsidRDefault="00320EAF">
      <w:pPr>
        <w:pStyle w:val="FootnoteText"/>
      </w:pPr>
      <w:r>
        <w:rPr>
          <w:rStyle w:val="FootnoteReference"/>
        </w:rPr>
        <w:footnoteRef/>
      </w:r>
      <w:r>
        <w:t xml:space="preserve"> </w:t>
      </w:r>
      <w:r w:rsidRPr="00B91365">
        <w:rPr>
          <w:rFonts w:ascii="Times New Roman" w:hAnsi="Times New Roman" w:cs="Times New Roman"/>
        </w:rPr>
        <w:t xml:space="preserve">See Douglas J. Sale, </w:t>
      </w:r>
      <w:r w:rsidRPr="00B91365">
        <w:rPr>
          <w:rFonts w:ascii="Times New Roman" w:hAnsi="Times New Roman" w:cs="Times New Roman"/>
          <w:u w:val="single"/>
        </w:rPr>
        <w:t>Free Enterprise vs. Economic Incentives: The Evolution of the “Public Purpose” Fulcrum</w:t>
      </w:r>
      <w:r w:rsidRPr="00B91365">
        <w:rPr>
          <w:rFonts w:ascii="Times New Roman" w:hAnsi="Times New Roman" w:cs="Times New Roman"/>
        </w:rPr>
        <w:t>, Stetson Law Review, Vol. 46 482, at 48</w:t>
      </w:r>
      <w:r>
        <w:rPr>
          <w:rFonts w:ascii="Times New Roman" w:hAnsi="Times New Roman" w:cs="Times New Roman"/>
        </w:rPr>
        <w:t>9</w:t>
      </w:r>
      <w:r w:rsidRPr="00B91365">
        <w:rPr>
          <w:rFonts w:ascii="Times New Roman" w:hAnsi="Times New Roman" w:cs="Times New Roman"/>
        </w:rPr>
        <w:t xml:space="preserve"> (2017)</w:t>
      </w:r>
      <w:r>
        <w:rPr>
          <w:rFonts w:ascii="Times New Roman" w:hAnsi="Times New Roman" w:cs="Times New Roman"/>
        </w:rPr>
        <w:t>.</w:t>
      </w:r>
    </w:p>
  </w:footnote>
  <w:footnote w:id="22">
    <w:p w:rsidR="003F4494" w:rsidRPr="003B69FF" w:rsidRDefault="003F4494" w:rsidP="003F4494">
      <w:pPr>
        <w:pStyle w:val="FootnoteText"/>
        <w:rPr>
          <w:rFonts w:ascii="Times New Roman" w:hAnsi="Times New Roman" w:cs="Times New Roman"/>
        </w:rPr>
      </w:pPr>
      <w:r w:rsidRPr="00B91365">
        <w:rPr>
          <w:rStyle w:val="FootnoteReference"/>
          <w:rFonts w:ascii="Times New Roman" w:hAnsi="Times New Roman" w:cs="Times New Roman"/>
        </w:rPr>
        <w:footnoteRef/>
      </w:r>
      <w:r w:rsidRPr="00B91365">
        <w:rPr>
          <w:rFonts w:ascii="Times New Roman" w:hAnsi="Times New Roman" w:cs="Times New Roman"/>
        </w:rPr>
        <w:t xml:space="preserve"> </w:t>
      </w:r>
      <w:r w:rsidR="00BC3563" w:rsidRPr="00B91365">
        <w:rPr>
          <w:rFonts w:ascii="Times New Roman" w:hAnsi="Times New Roman" w:cs="Times New Roman"/>
        </w:rPr>
        <w:t xml:space="preserve">See Douglas J. Sale, </w:t>
      </w:r>
      <w:r w:rsidR="00BC3563" w:rsidRPr="00B91365">
        <w:rPr>
          <w:rFonts w:ascii="Times New Roman" w:hAnsi="Times New Roman" w:cs="Times New Roman"/>
          <w:u w:val="single"/>
        </w:rPr>
        <w:t>Free Enterprise vs. Economic Incentives: The Evolution of the “Public Purpose” Fulcrum</w:t>
      </w:r>
      <w:r w:rsidR="00BC3563" w:rsidRPr="00B91365">
        <w:rPr>
          <w:rFonts w:ascii="Times New Roman" w:hAnsi="Times New Roman" w:cs="Times New Roman"/>
        </w:rPr>
        <w:t>, Stetson Law Review, Vol. 46 482, at 4</w:t>
      </w:r>
      <w:r w:rsidR="00320EAF">
        <w:rPr>
          <w:rFonts w:ascii="Times New Roman" w:hAnsi="Times New Roman" w:cs="Times New Roman"/>
        </w:rPr>
        <w:t>90</w:t>
      </w:r>
      <w:r w:rsidR="00BC3563" w:rsidRPr="00B91365">
        <w:rPr>
          <w:rFonts w:ascii="Times New Roman" w:hAnsi="Times New Roman" w:cs="Times New Roman"/>
        </w:rPr>
        <w:t xml:space="preserve"> (2017)</w:t>
      </w:r>
      <w:r w:rsidR="00320EAF">
        <w:rPr>
          <w:rFonts w:ascii="Times New Roman" w:hAnsi="Times New Roman" w:cs="Times New Roman"/>
        </w:rPr>
        <w:t>.</w:t>
      </w:r>
    </w:p>
  </w:footnote>
  <w:footnote w:id="23">
    <w:p w:rsidR="003F4494" w:rsidRPr="003B69FF" w:rsidRDefault="003F4494" w:rsidP="003F4494">
      <w:pPr>
        <w:pStyle w:val="FootnoteText"/>
        <w:rPr>
          <w:rFonts w:ascii="Times New Roman" w:hAnsi="Times New Roman" w:cs="Times New Roman"/>
        </w:rPr>
      </w:pPr>
      <w:r w:rsidRPr="003B69FF">
        <w:rPr>
          <w:rStyle w:val="FootnoteReference"/>
          <w:rFonts w:ascii="Times New Roman" w:hAnsi="Times New Roman" w:cs="Times New Roman"/>
        </w:rPr>
        <w:footnoteRef/>
      </w:r>
      <w:r w:rsidRPr="003B69FF">
        <w:rPr>
          <w:rFonts w:ascii="Times New Roman" w:hAnsi="Times New Roman" w:cs="Times New Roman"/>
        </w:rPr>
        <w:t xml:space="preserve"> Housing Finance Authority of Polk County, 376 So .2d at 1159. (</w:t>
      </w:r>
    </w:p>
  </w:footnote>
  <w:footnote w:id="24">
    <w:p w:rsidR="003F4494" w:rsidRDefault="003F4494" w:rsidP="003F4494">
      <w:pPr>
        <w:pStyle w:val="FootnoteText"/>
      </w:pPr>
      <w:r w:rsidRPr="003B69FF">
        <w:rPr>
          <w:rStyle w:val="FootnoteReference"/>
          <w:rFonts w:ascii="Times New Roman" w:hAnsi="Times New Roman" w:cs="Times New Roman"/>
        </w:rPr>
        <w:footnoteRef/>
      </w:r>
      <w:r w:rsidRPr="003B69FF">
        <w:rPr>
          <w:rFonts w:ascii="Times New Roman" w:hAnsi="Times New Roman" w:cs="Times New Roman"/>
        </w:rPr>
        <w:t xml:space="preserve"> See Douglas J. Sale, </w:t>
      </w:r>
      <w:r w:rsidRPr="003B69FF">
        <w:rPr>
          <w:rFonts w:ascii="Times New Roman" w:hAnsi="Times New Roman" w:cs="Times New Roman"/>
          <w:u w:val="single"/>
        </w:rPr>
        <w:t xml:space="preserve">Free Enterprise vs. Economic Incentives: </w:t>
      </w:r>
      <w:r>
        <w:rPr>
          <w:rFonts w:ascii="Times New Roman" w:hAnsi="Times New Roman" w:cs="Times New Roman"/>
          <w:u w:val="single"/>
        </w:rPr>
        <w:t>The Ev</w:t>
      </w:r>
      <w:r w:rsidRPr="003B69FF">
        <w:rPr>
          <w:rFonts w:ascii="Times New Roman" w:hAnsi="Times New Roman" w:cs="Times New Roman"/>
          <w:u w:val="single"/>
        </w:rPr>
        <w:t>olution of the “Public Purpose” Fulcrum</w:t>
      </w:r>
      <w:r w:rsidRPr="003B69FF">
        <w:rPr>
          <w:rFonts w:ascii="Times New Roman" w:hAnsi="Times New Roman" w:cs="Times New Roman"/>
        </w:rPr>
        <w:t>, Stetson Law Review, Vol. 46 482, at 483 (2017</w:t>
      </w:r>
      <w:r>
        <w:rPr>
          <w:rFonts w:ascii="Times New Roman" w:hAnsi="Times New Roman" w:cs="Times New Roman"/>
        </w:rPr>
        <w:t>).</w:t>
      </w:r>
    </w:p>
  </w:footnote>
  <w:footnote w:id="25">
    <w:p w:rsidR="003F4494" w:rsidRPr="003B69FF" w:rsidRDefault="003F4494" w:rsidP="003F4494">
      <w:pPr>
        <w:pStyle w:val="FootnoteText"/>
        <w:rPr>
          <w:rFonts w:ascii="Times New Roman" w:hAnsi="Times New Roman" w:cs="Times New Roman"/>
        </w:rPr>
      </w:pPr>
      <w:r>
        <w:rPr>
          <w:rStyle w:val="FootnoteReference"/>
        </w:rPr>
        <w:footnoteRef/>
      </w:r>
      <w:r>
        <w:t xml:space="preserve"> </w:t>
      </w:r>
      <w:r w:rsidRPr="003B69FF">
        <w:rPr>
          <w:rFonts w:ascii="Times New Roman" w:hAnsi="Times New Roman" w:cs="Times New Roman"/>
          <w:i/>
        </w:rPr>
        <w:t>See</w:t>
      </w:r>
      <w:r w:rsidRPr="003B69FF">
        <w:rPr>
          <w:rFonts w:ascii="Times New Roman" w:hAnsi="Times New Roman" w:cs="Times New Roman"/>
        </w:rPr>
        <w:t xml:space="preserve"> State v. City of Panama City Beach, 529 So. 2d 250, 253 (Fla. 1988).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DD" w:rsidRDefault="00557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DD" w:rsidRDefault="00551686">
    <w:pPr>
      <w:pStyle w:val="Header"/>
      <w:rPr>
        <w:rFonts w:ascii="Times New Roman" w:hAnsi="Times New Roman" w:cs="Times New Roman"/>
      </w:rPr>
    </w:pPr>
    <w:r w:rsidRPr="00B53BA5">
      <w:rPr>
        <w:rFonts w:ascii="Times New Roman" w:hAnsi="Times New Roman" w:cs="Times New Roman"/>
        <w:i/>
      </w:rPr>
      <w:t xml:space="preserve">Privileged and Confidential </w:t>
    </w:r>
    <w:r w:rsidR="005573DD">
      <w:rPr>
        <w:rFonts w:ascii="Times New Roman" w:hAnsi="Times New Roman" w:cs="Times New Roman"/>
        <w:i/>
      </w:rPr>
      <w:t xml:space="preserve">- </w:t>
    </w:r>
    <w:r w:rsidRPr="00B53BA5">
      <w:rPr>
        <w:rFonts w:ascii="Times New Roman" w:hAnsi="Times New Roman" w:cs="Times New Roman"/>
        <w:i/>
      </w:rPr>
      <w:t>Attorney Client Communication</w:t>
    </w:r>
    <w:r>
      <w:rPr>
        <w:rFonts w:ascii="Times New Roman" w:hAnsi="Times New Roman" w:cs="Times New Roman"/>
      </w:rPr>
      <w:t xml:space="preserve"> </w:t>
    </w:r>
    <w:r w:rsidR="005573DD">
      <w:rPr>
        <w:rFonts w:ascii="Times New Roman" w:hAnsi="Times New Roman" w:cs="Times New Roman"/>
      </w:rPr>
      <w:tab/>
      <w:t>Draft 5/20/19</w:t>
    </w:r>
  </w:p>
  <w:p w:rsidR="00551686" w:rsidRDefault="00551686">
    <w:pPr>
      <w:pStyle w:val="Header"/>
    </w:pPr>
    <w:r>
      <w:rPr>
        <w:rFonts w:ascii="Times New Roman" w:hAnsi="Times New Roman" w:cs="Times New Roman"/>
      </w:rPr>
      <w:tab/>
    </w:r>
    <w:r>
      <w:rPr>
        <w:rFonts w:ascii="Times New Roman" w:hAnsi="Times New Roman"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DD" w:rsidRDefault="00557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36C82"/>
    <w:multiLevelType w:val="multilevel"/>
    <w:tmpl w:val="F7E00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A1624"/>
    <w:multiLevelType w:val="hybridMultilevel"/>
    <w:tmpl w:val="550C2942"/>
    <w:lvl w:ilvl="0" w:tplc="E222D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AE241A"/>
    <w:multiLevelType w:val="hybridMultilevel"/>
    <w:tmpl w:val="9CDABDFA"/>
    <w:lvl w:ilvl="0" w:tplc="2CA05094">
      <w:start w:val="1"/>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2DB1096"/>
    <w:multiLevelType w:val="multilevel"/>
    <w:tmpl w:val="F154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CD39A8"/>
    <w:multiLevelType w:val="multilevel"/>
    <w:tmpl w:val="43CE96E8"/>
    <w:lvl w:ilvl="0">
      <w:numFmt w:val="bullet"/>
      <w:lvlText w:val="·"/>
      <w:lvlJc w:val="left"/>
      <w:pPr>
        <w:tabs>
          <w:tab w:val="left" w:pos="288"/>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323949"/>
    <w:multiLevelType w:val="hybridMultilevel"/>
    <w:tmpl w:val="DBC0FF36"/>
    <w:lvl w:ilvl="0" w:tplc="4A9CB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CD4D82"/>
    <w:multiLevelType w:val="hybridMultilevel"/>
    <w:tmpl w:val="D396CAAA"/>
    <w:lvl w:ilvl="0" w:tplc="D2245ED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A7F72D7"/>
    <w:multiLevelType w:val="hybridMultilevel"/>
    <w:tmpl w:val="E12AC830"/>
    <w:lvl w:ilvl="0" w:tplc="939EC0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B5177A3"/>
    <w:multiLevelType w:val="hybridMultilevel"/>
    <w:tmpl w:val="03AEA99E"/>
    <w:lvl w:ilvl="0" w:tplc="337ED4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BE1319"/>
    <w:multiLevelType w:val="hybridMultilevel"/>
    <w:tmpl w:val="69FAFF4E"/>
    <w:lvl w:ilvl="0" w:tplc="E8106E2E">
      <w:start w:val="1"/>
      <w:numFmt w:val="upperRoman"/>
      <w:lvlText w:val="%1."/>
      <w:lvlJc w:val="left"/>
      <w:pPr>
        <w:ind w:left="1080" w:hanging="72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502F26"/>
    <w:multiLevelType w:val="hybridMultilevel"/>
    <w:tmpl w:val="85D2396E"/>
    <w:lvl w:ilvl="0" w:tplc="F15E56C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A222E80"/>
    <w:multiLevelType w:val="hybridMultilevel"/>
    <w:tmpl w:val="655623EE"/>
    <w:lvl w:ilvl="0" w:tplc="C854F9C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8"/>
  </w:num>
  <w:num w:numId="3">
    <w:abstractNumId w:val="11"/>
  </w:num>
  <w:num w:numId="4">
    <w:abstractNumId w:val="10"/>
  </w:num>
  <w:num w:numId="5">
    <w:abstractNumId w:val="6"/>
  </w:num>
  <w:num w:numId="6">
    <w:abstractNumId w:val="2"/>
  </w:num>
  <w:num w:numId="7">
    <w:abstractNumId w:val="7"/>
  </w:num>
  <w:num w:numId="8">
    <w:abstractNumId w:val="1"/>
  </w:num>
  <w:num w:numId="9">
    <w:abstractNumId w:val="5"/>
  </w:num>
  <w:num w:numId="10">
    <w:abstractNumId w:val="0"/>
  </w:num>
  <w:num w:numId="11">
    <w:abstractNumId w:val="3"/>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E9"/>
    <w:rsid w:val="00006EC9"/>
    <w:rsid w:val="00007603"/>
    <w:rsid w:val="000120D5"/>
    <w:rsid w:val="0001457B"/>
    <w:rsid w:val="000209C7"/>
    <w:rsid w:val="000224F3"/>
    <w:rsid w:val="00023A82"/>
    <w:rsid w:val="00033DC9"/>
    <w:rsid w:val="00041003"/>
    <w:rsid w:val="00042B41"/>
    <w:rsid w:val="00046A70"/>
    <w:rsid w:val="000517C2"/>
    <w:rsid w:val="00052C53"/>
    <w:rsid w:val="000535EC"/>
    <w:rsid w:val="000536ED"/>
    <w:rsid w:val="000541D4"/>
    <w:rsid w:val="00054F0D"/>
    <w:rsid w:val="00057499"/>
    <w:rsid w:val="00063401"/>
    <w:rsid w:val="0006523A"/>
    <w:rsid w:val="00076C46"/>
    <w:rsid w:val="00082D22"/>
    <w:rsid w:val="00084C5D"/>
    <w:rsid w:val="00087C69"/>
    <w:rsid w:val="00093870"/>
    <w:rsid w:val="00095A8D"/>
    <w:rsid w:val="00096815"/>
    <w:rsid w:val="000A5082"/>
    <w:rsid w:val="000A539F"/>
    <w:rsid w:val="000C5BAD"/>
    <w:rsid w:val="000D4FA6"/>
    <w:rsid w:val="000D584B"/>
    <w:rsid w:val="000E1774"/>
    <w:rsid w:val="000E5560"/>
    <w:rsid w:val="000E76B2"/>
    <w:rsid w:val="000F1805"/>
    <w:rsid w:val="000F249B"/>
    <w:rsid w:val="000F62D3"/>
    <w:rsid w:val="0010471A"/>
    <w:rsid w:val="00110E42"/>
    <w:rsid w:val="00111DC1"/>
    <w:rsid w:val="00112D1C"/>
    <w:rsid w:val="00142795"/>
    <w:rsid w:val="001427BB"/>
    <w:rsid w:val="00151D9B"/>
    <w:rsid w:val="0016024E"/>
    <w:rsid w:val="00160669"/>
    <w:rsid w:val="0016103D"/>
    <w:rsid w:val="001664AB"/>
    <w:rsid w:val="0017456C"/>
    <w:rsid w:val="00175CBD"/>
    <w:rsid w:val="001802F5"/>
    <w:rsid w:val="001828E0"/>
    <w:rsid w:val="00191622"/>
    <w:rsid w:val="00194710"/>
    <w:rsid w:val="001970DD"/>
    <w:rsid w:val="00197C3E"/>
    <w:rsid w:val="001A1A6D"/>
    <w:rsid w:val="001A3D2A"/>
    <w:rsid w:val="001A48A8"/>
    <w:rsid w:val="001A4F29"/>
    <w:rsid w:val="001A5935"/>
    <w:rsid w:val="001B0E94"/>
    <w:rsid w:val="001B6BD9"/>
    <w:rsid w:val="001C1A02"/>
    <w:rsid w:val="001C540C"/>
    <w:rsid w:val="001C6640"/>
    <w:rsid w:val="001D394D"/>
    <w:rsid w:val="001D3E57"/>
    <w:rsid w:val="001E116A"/>
    <w:rsid w:val="001E316F"/>
    <w:rsid w:val="001E3A5E"/>
    <w:rsid w:val="001E3E42"/>
    <w:rsid w:val="001E499B"/>
    <w:rsid w:val="001F3CF9"/>
    <w:rsid w:val="001F403D"/>
    <w:rsid w:val="001F404F"/>
    <w:rsid w:val="001F56DC"/>
    <w:rsid w:val="001F70E3"/>
    <w:rsid w:val="002003BA"/>
    <w:rsid w:val="00201FBF"/>
    <w:rsid w:val="00202A5F"/>
    <w:rsid w:val="002110D6"/>
    <w:rsid w:val="0021283A"/>
    <w:rsid w:val="002134D7"/>
    <w:rsid w:val="00215F4A"/>
    <w:rsid w:val="00216E56"/>
    <w:rsid w:val="00216ED4"/>
    <w:rsid w:val="00216FAD"/>
    <w:rsid w:val="00220476"/>
    <w:rsid w:val="002213F3"/>
    <w:rsid w:val="002225FC"/>
    <w:rsid w:val="00226DB5"/>
    <w:rsid w:val="00227FB9"/>
    <w:rsid w:val="00230E2C"/>
    <w:rsid w:val="00233390"/>
    <w:rsid w:val="002333B3"/>
    <w:rsid w:val="00240DE5"/>
    <w:rsid w:val="002441AA"/>
    <w:rsid w:val="00247046"/>
    <w:rsid w:val="002533A8"/>
    <w:rsid w:val="00254BCD"/>
    <w:rsid w:val="00255C42"/>
    <w:rsid w:val="00257D63"/>
    <w:rsid w:val="00261CB8"/>
    <w:rsid w:val="0026348B"/>
    <w:rsid w:val="0027028A"/>
    <w:rsid w:val="00270949"/>
    <w:rsid w:val="00270E3C"/>
    <w:rsid w:val="00272E06"/>
    <w:rsid w:val="00272E20"/>
    <w:rsid w:val="0027751D"/>
    <w:rsid w:val="00280F3A"/>
    <w:rsid w:val="00282E6F"/>
    <w:rsid w:val="00285441"/>
    <w:rsid w:val="00292562"/>
    <w:rsid w:val="00292B33"/>
    <w:rsid w:val="002A51AF"/>
    <w:rsid w:val="002A5337"/>
    <w:rsid w:val="002A5FDF"/>
    <w:rsid w:val="002A679A"/>
    <w:rsid w:val="002B1534"/>
    <w:rsid w:val="002B3138"/>
    <w:rsid w:val="002B3393"/>
    <w:rsid w:val="002B7250"/>
    <w:rsid w:val="002C0D0A"/>
    <w:rsid w:val="002C1296"/>
    <w:rsid w:val="002D45F7"/>
    <w:rsid w:val="002D5FBE"/>
    <w:rsid w:val="002D60C7"/>
    <w:rsid w:val="002E3BBD"/>
    <w:rsid w:val="002F14FD"/>
    <w:rsid w:val="002F1B67"/>
    <w:rsid w:val="002F34BE"/>
    <w:rsid w:val="002F7D52"/>
    <w:rsid w:val="00303C30"/>
    <w:rsid w:val="003068BB"/>
    <w:rsid w:val="00310879"/>
    <w:rsid w:val="0031536B"/>
    <w:rsid w:val="00320EAF"/>
    <w:rsid w:val="0033060F"/>
    <w:rsid w:val="00332245"/>
    <w:rsid w:val="00334A58"/>
    <w:rsid w:val="00335F71"/>
    <w:rsid w:val="00343EB3"/>
    <w:rsid w:val="00351D8E"/>
    <w:rsid w:val="00356D7C"/>
    <w:rsid w:val="00357F3F"/>
    <w:rsid w:val="0036415E"/>
    <w:rsid w:val="00364527"/>
    <w:rsid w:val="00365860"/>
    <w:rsid w:val="00374AF9"/>
    <w:rsid w:val="0037621B"/>
    <w:rsid w:val="00377330"/>
    <w:rsid w:val="00380831"/>
    <w:rsid w:val="003833F1"/>
    <w:rsid w:val="0038530D"/>
    <w:rsid w:val="003A6612"/>
    <w:rsid w:val="003B029B"/>
    <w:rsid w:val="003B07AD"/>
    <w:rsid w:val="003B33BD"/>
    <w:rsid w:val="003B6859"/>
    <w:rsid w:val="003B6DAD"/>
    <w:rsid w:val="003B78BB"/>
    <w:rsid w:val="003C2155"/>
    <w:rsid w:val="003C2308"/>
    <w:rsid w:val="003C47FF"/>
    <w:rsid w:val="003C5B18"/>
    <w:rsid w:val="003D30D6"/>
    <w:rsid w:val="003D5B29"/>
    <w:rsid w:val="003D5B2E"/>
    <w:rsid w:val="003D7B00"/>
    <w:rsid w:val="003E0DB6"/>
    <w:rsid w:val="003E3251"/>
    <w:rsid w:val="003E4682"/>
    <w:rsid w:val="003E556B"/>
    <w:rsid w:val="003E5E60"/>
    <w:rsid w:val="003F1158"/>
    <w:rsid w:val="003F2F1D"/>
    <w:rsid w:val="003F32FB"/>
    <w:rsid w:val="003F3793"/>
    <w:rsid w:val="003F4494"/>
    <w:rsid w:val="003F501A"/>
    <w:rsid w:val="004029C5"/>
    <w:rsid w:val="00405448"/>
    <w:rsid w:val="00405671"/>
    <w:rsid w:val="0040600D"/>
    <w:rsid w:val="00406583"/>
    <w:rsid w:val="004133D4"/>
    <w:rsid w:val="004231C5"/>
    <w:rsid w:val="00426277"/>
    <w:rsid w:val="004263D6"/>
    <w:rsid w:val="004268EE"/>
    <w:rsid w:val="004522C8"/>
    <w:rsid w:val="004536D9"/>
    <w:rsid w:val="0045728E"/>
    <w:rsid w:val="004731E9"/>
    <w:rsid w:val="004757E4"/>
    <w:rsid w:val="0048635D"/>
    <w:rsid w:val="00491C98"/>
    <w:rsid w:val="00491EED"/>
    <w:rsid w:val="00492039"/>
    <w:rsid w:val="00494223"/>
    <w:rsid w:val="004A0208"/>
    <w:rsid w:val="004A44D1"/>
    <w:rsid w:val="004A52FD"/>
    <w:rsid w:val="004B0533"/>
    <w:rsid w:val="004B4035"/>
    <w:rsid w:val="004C09A8"/>
    <w:rsid w:val="004C2172"/>
    <w:rsid w:val="004C2760"/>
    <w:rsid w:val="004C30E3"/>
    <w:rsid w:val="004D2349"/>
    <w:rsid w:val="004D6C02"/>
    <w:rsid w:val="004E4197"/>
    <w:rsid w:val="004F2020"/>
    <w:rsid w:val="005018AA"/>
    <w:rsid w:val="00510A2E"/>
    <w:rsid w:val="0051213D"/>
    <w:rsid w:val="00513927"/>
    <w:rsid w:val="005140F5"/>
    <w:rsid w:val="005153B6"/>
    <w:rsid w:val="00521F05"/>
    <w:rsid w:val="00522A85"/>
    <w:rsid w:val="0052392A"/>
    <w:rsid w:val="005437B8"/>
    <w:rsid w:val="005442B4"/>
    <w:rsid w:val="00547187"/>
    <w:rsid w:val="00550AC1"/>
    <w:rsid w:val="00551686"/>
    <w:rsid w:val="005522B0"/>
    <w:rsid w:val="00555356"/>
    <w:rsid w:val="00555882"/>
    <w:rsid w:val="005573DD"/>
    <w:rsid w:val="00560D81"/>
    <w:rsid w:val="005624B9"/>
    <w:rsid w:val="00563917"/>
    <w:rsid w:val="0056450F"/>
    <w:rsid w:val="00572B04"/>
    <w:rsid w:val="00581068"/>
    <w:rsid w:val="005840BD"/>
    <w:rsid w:val="005947C4"/>
    <w:rsid w:val="00596E4E"/>
    <w:rsid w:val="005A29D8"/>
    <w:rsid w:val="005A5A86"/>
    <w:rsid w:val="005A5ED5"/>
    <w:rsid w:val="005B3B80"/>
    <w:rsid w:val="005B588B"/>
    <w:rsid w:val="005D65CD"/>
    <w:rsid w:val="005D73A7"/>
    <w:rsid w:val="005E2C95"/>
    <w:rsid w:val="005F0359"/>
    <w:rsid w:val="005F1411"/>
    <w:rsid w:val="006032E8"/>
    <w:rsid w:val="00603859"/>
    <w:rsid w:val="00604B10"/>
    <w:rsid w:val="00607586"/>
    <w:rsid w:val="00615AD4"/>
    <w:rsid w:val="00616CA5"/>
    <w:rsid w:val="00623F09"/>
    <w:rsid w:val="00626100"/>
    <w:rsid w:val="00633CF2"/>
    <w:rsid w:val="00634F97"/>
    <w:rsid w:val="006430D6"/>
    <w:rsid w:val="00643B2F"/>
    <w:rsid w:val="00644547"/>
    <w:rsid w:val="0065105C"/>
    <w:rsid w:val="006517BB"/>
    <w:rsid w:val="00655967"/>
    <w:rsid w:val="006560C6"/>
    <w:rsid w:val="00657380"/>
    <w:rsid w:val="006574B8"/>
    <w:rsid w:val="00662A7D"/>
    <w:rsid w:val="00666C9E"/>
    <w:rsid w:val="006711A7"/>
    <w:rsid w:val="006767A2"/>
    <w:rsid w:val="006825E9"/>
    <w:rsid w:val="00683F2D"/>
    <w:rsid w:val="0069472C"/>
    <w:rsid w:val="006A39F5"/>
    <w:rsid w:val="006A590C"/>
    <w:rsid w:val="006A75D6"/>
    <w:rsid w:val="006B0EA4"/>
    <w:rsid w:val="006B47F8"/>
    <w:rsid w:val="006C3490"/>
    <w:rsid w:val="006C4391"/>
    <w:rsid w:val="006C43A1"/>
    <w:rsid w:val="006C7D1D"/>
    <w:rsid w:val="006D03FA"/>
    <w:rsid w:val="006D29DB"/>
    <w:rsid w:val="006D3F3B"/>
    <w:rsid w:val="006D6A53"/>
    <w:rsid w:val="006D7A79"/>
    <w:rsid w:val="006E21A9"/>
    <w:rsid w:val="006E22BB"/>
    <w:rsid w:val="006E24DB"/>
    <w:rsid w:val="006E529B"/>
    <w:rsid w:val="006E5C9C"/>
    <w:rsid w:val="006F1993"/>
    <w:rsid w:val="006F7E14"/>
    <w:rsid w:val="00705E57"/>
    <w:rsid w:val="00714B2A"/>
    <w:rsid w:val="00717374"/>
    <w:rsid w:val="00723568"/>
    <w:rsid w:val="00726B6E"/>
    <w:rsid w:val="007315E7"/>
    <w:rsid w:val="0073176F"/>
    <w:rsid w:val="0073416F"/>
    <w:rsid w:val="00740095"/>
    <w:rsid w:val="00741201"/>
    <w:rsid w:val="00743042"/>
    <w:rsid w:val="00743DF1"/>
    <w:rsid w:val="007454DC"/>
    <w:rsid w:val="00745A54"/>
    <w:rsid w:val="007465B6"/>
    <w:rsid w:val="00757CAE"/>
    <w:rsid w:val="007609A5"/>
    <w:rsid w:val="00760D7B"/>
    <w:rsid w:val="00763D33"/>
    <w:rsid w:val="00765623"/>
    <w:rsid w:val="0076664B"/>
    <w:rsid w:val="007743F2"/>
    <w:rsid w:val="0078460C"/>
    <w:rsid w:val="00785CCA"/>
    <w:rsid w:val="00787471"/>
    <w:rsid w:val="007A0074"/>
    <w:rsid w:val="007A32D4"/>
    <w:rsid w:val="007A4207"/>
    <w:rsid w:val="007A6BDF"/>
    <w:rsid w:val="007B414E"/>
    <w:rsid w:val="007C0BA0"/>
    <w:rsid w:val="007C0E2D"/>
    <w:rsid w:val="007C4F48"/>
    <w:rsid w:val="007E1367"/>
    <w:rsid w:val="007E273A"/>
    <w:rsid w:val="007E48CE"/>
    <w:rsid w:val="007F0443"/>
    <w:rsid w:val="007F2213"/>
    <w:rsid w:val="00800E65"/>
    <w:rsid w:val="00807516"/>
    <w:rsid w:val="00812392"/>
    <w:rsid w:val="00815BB2"/>
    <w:rsid w:val="0083017F"/>
    <w:rsid w:val="00836455"/>
    <w:rsid w:val="00842216"/>
    <w:rsid w:val="00843FAF"/>
    <w:rsid w:val="00844E88"/>
    <w:rsid w:val="00856C8E"/>
    <w:rsid w:val="00882890"/>
    <w:rsid w:val="00885A91"/>
    <w:rsid w:val="00885D1D"/>
    <w:rsid w:val="0089098B"/>
    <w:rsid w:val="00897C7F"/>
    <w:rsid w:val="008A708B"/>
    <w:rsid w:val="008B0615"/>
    <w:rsid w:val="008B26F6"/>
    <w:rsid w:val="008B455F"/>
    <w:rsid w:val="008B7B14"/>
    <w:rsid w:val="008D147E"/>
    <w:rsid w:val="008D7307"/>
    <w:rsid w:val="008F3E5A"/>
    <w:rsid w:val="0090418B"/>
    <w:rsid w:val="0090692F"/>
    <w:rsid w:val="00906F00"/>
    <w:rsid w:val="0091095D"/>
    <w:rsid w:val="00914C8E"/>
    <w:rsid w:val="00915C7B"/>
    <w:rsid w:val="00923201"/>
    <w:rsid w:val="0092343E"/>
    <w:rsid w:val="00923CB5"/>
    <w:rsid w:val="00926941"/>
    <w:rsid w:val="00935E31"/>
    <w:rsid w:val="00942D8A"/>
    <w:rsid w:val="0094318C"/>
    <w:rsid w:val="009444C0"/>
    <w:rsid w:val="00961173"/>
    <w:rsid w:val="009645C7"/>
    <w:rsid w:val="00964A0B"/>
    <w:rsid w:val="00970086"/>
    <w:rsid w:val="00975230"/>
    <w:rsid w:val="00984F91"/>
    <w:rsid w:val="009871B2"/>
    <w:rsid w:val="00991C2E"/>
    <w:rsid w:val="00997395"/>
    <w:rsid w:val="009A0817"/>
    <w:rsid w:val="009A330D"/>
    <w:rsid w:val="009A5420"/>
    <w:rsid w:val="009A5B6C"/>
    <w:rsid w:val="009A7BB3"/>
    <w:rsid w:val="009C13E9"/>
    <w:rsid w:val="009C1795"/>
    <w:rsid w:val="009C21DC"/>
    <w:rsid w:val="009C6C26"/>
    <w:rsid w:val="009D79FE"/>
    <w:rsid w:val="009E0339"/>
    <w:rsid w:val="009E1BEC"/>
    <w:rsid w:val="009F4179"/>
    <w:rsid w:val="009F4574"/>
    <w:rsid w:val="00A074F1"/>
    <w:rsid w:val="00A07C6E"/>
    <w:rsid w:val="00A116B2"/>
    <w:rsid w:val="00A178AF"/>
    <w:rsid w:val="00A17AE6"/>
    <w:rsid w:val="00A218E9"/>
    <w:rsid w:val="00A22C21"/>
    <w:rsid w:val="00A22DD4"/>
    <w:rsid w:val="00A264A4"/>
    <w:rsid w:val="00A26F24"/>
    <w:rsid w:val="00A33801"/>
    <w:rsid w:val="00A35570"/>
    <w:rsid w:val="00A41483"/>
    <w:rsid w:val="00A4386D"/>
    <w:rsid w:val="00A5444F"/>
    <w:rsid w:val="00A55A4D"/>
    <w:rsid w:val="00A56A13"/>
    <w:rsid w:val="00A56B13"/>
    <w:rsid w:val="00A61A36"/>
    <w:rsid w:val="00A660CA"/>
    <w:rsid w:val="00A732F6"/>
    <w:rsid w:val="00A76C35"/>
    <w:rsid w:val="00A80DEA"/>
    <w:rsid w:val="00A821E5"/>
    <w:rsid w:val="00A86CF6"/>
    <w:rsid w:val="00AA0C50"/>
    <w:rsid w:val="00AA65FA"/>
    <w:rsid w:val="00AA6AAC"/>
    <w:rsid w:val="00AB62F3"/>
    <w:rsid w:val="00AC3E63"/>
    <w:rsid w:val="00AC6FFF"/>
    <w:rsid w:val="00AD003B"/>
    <w:rsid w:val="00AD1274"/>
    <w:rsid w:val="00AD1A71"/>
    <w:rsid w:val="00AD7996"/>
    <w:rsid w:val="00AE3851"/>
    <w:rsid w:val="00AE4A62"/>
    <w:rsid w:val="00AF1563"/>
    <w:rsid w:val="00B07F3A"/>
    <w:rsid w:val="00B1437D"/>
    <w:rsid w:val="00B17A67"/>
    <w:rsid w:val="00B2306A"/>
    <w:rsid w:val="00B26071"/>
    <w:rsid w:val="00B27749"/>
    <w:rsid w:val="00B30E86"/>
    <w:rsid w:val="00B332E8"/>
    <w:rsid w:val="00B34CF7"/>
    <w:rsid w:val="00B35559"/>
    <w:rsid w:val="00B4131D"/>
    <w:rsid w:val="00B47837"/>
    <w:rsid w:val="00B51288"/>
    <w:rsid w:val="00B53BA5"/>
    <w:rsid w:val="00B543F1"/>
    <w:rsid w:val="00B552F4"/>
    <w:rsid w:val="00B57191"/>
    <w:rsid w:val="00B632A5"/>
    <w:rsid w:val="00B66541"/>
    <w:rsid w:val="00B67E36"/>
    <w:rsid w:val="00B72AB3"/>
    <w:rsid w:val="00B75409"/>
    <w:rsid w:val="00B82E89"/>
    <w:rsid w:val="00B86A14"/>
    <w:rsid w:val="00B86BF6"/>
    <w:rsid w:val="00B90601"/>
    <w:rsid w:val="00B90D7F"/>
    <w:rsid w:val="00B91710"/>
    <w:rsid w:val="00BB0BBF"/>
    <w:rsid w:val="00BB3A7C"/>
    <w:rsid w:val="00BB451B"/>
    <w:rsid w:val="00BC04B6"/>
    <w:rsid w:val="00BC27C7"/>
    <w:rsid w:val="00BC3563"/>
    <w:rsid w:val="00BD1695"/>
    <w:rsid w:val="00BD292D"/>
    <w:rsid w:val="00BD2C19"/>
    <w:rsid w:val="00BE6A23"/>
    <w:rsid w:val="00BF0892"/>
    <w:rsid w:val="00BF36D5"/>
    <w:rsid w:val="00BF466E"/>
    <w:rsid w:val="00BF5180"/>
    <w:rsid w:val="00C04C46"/>
    <w:rsid w:val="00C05396"/>
    <w:rsid w:val="00C05614"/>
    <w:rsid w:val="00C071F2"/>
    <w:rsid w:val="00C2079D"/>
    <w:rsid w:val="00C25DC8"/>
    <w:rsid w:val="00C27C64"/>
    <w:rsid w:val="00C33A4B"/>
    <w:rsid w:val="00C3559A"/>
    <w:rsid w:val="00C378EF"/>
    <w:rsid w:val="00C427E8"/>
    <w:rsid w:val="00C4505D"/>
    <w:rsid w:val="00C452E9"/>
    <w:rsid w:val="00C4531B"/>
    <w:rsid w:val="00C457A1"/>
    <w:rsid w:val="00C47EB0"/>
    <w:rsid w:val="00C5092D"/>
    <w:rsid w:val="00C50C12"/>
    <w:rsid w:val="00C54B76"/>
    <w:rsid w:val="00C63C70"/>
    <w:rsid w:val="00C70BB0"/>
    <w:rsid w:val="00C71E04"/>
    <w:rsid w:val="00C72386"/>
    <w:rsid w:val="00C732A7"/>
    <w:rsid w:val="00C7514A"/>
    <w:rsid w:val="00C80BC4"/>
    <w:rsid w:val="00C81861"/>
    <w:rsid w:val="00C82D23"/>
    <w:rsid w:val="00C867EE"/>
    <w:rsid w:val="00C87A0C"/>
    <w:rsid w:val="00C90F22"/>
    <w:rsid w:val="00C91FF3"/>
    <w:rsid w:val="00C96BB5"/>
    <w:rsid w:val="00CA0219"/>
    <w:rsid w:val="00CA10C3"/>
    <w:rsid w:val="00CA20B3"/>
    <w:rsid w:val="00CA33DF"/>
    <w:rsid w:val="00CA4B5D"/>
    <w:rsid w:val="00CA6A22"/>
    <w:rsid w:val="00CA700F"/>
    <w:rsid w:val="00CB1C7A"/>
    <w:rsid w:val="00CB2526"/>
    <w:rsid w:val="00CB50EB"/>
    <w:rsid w:val="00CB5696"/>
    <w:rsid w:val="00CC31F1"/>
    <w:rsid w:val="00CC52D6"/>
    <w:rsid w:val="00CD013F"/>
    <w:rsid w:val="00CD3A82"/>
    <w:rsid w:val="00CE3DDA"/>
    <w:rsid w:val="00CE6AE4"/>
    <w:rsid w:val="00CE6FE9"/>
    <w:rsid w:val="00CF3C8F"/>
    <w:rsid w:val="00CF48E6"/>
    <w:rsid w:val="00CF6843"/>
    <w:rsid w:val="00D04CA6"/>
    <w:rsid w:val="00D05F29"/>
    <w:rsid w:val="00D131C9"/>
    <w:rsid w:val="00D13CB8"/>
    <w:rsid w:val="00D17574"/>
    <w:rsid w:val="00D24BC6"/>
    <w:rsid w:val="00D271B7"/>
    <w:rsid w:val="00D33BD2"/>
    <w:rsid w:val="00D35E2A"/>
    <w:rsid w:val="00D41748"/>
    <w:rsid w:val="00D4577E"/>
    <w:rsid w:val="00D45DD3"/>
    <w:rsid w:val="00D47296"/>
    <w:rsid w:val="00D5679C"/>
    <w:rsid w:val="00D6021C"/>
    <w:rsid w:val="00D627E2"/>
    <w:rsid w:val="00D72793"/>
    <w:rsid w:val="00D74853"/>
    <w:rsid w:val="00D74BDA"/>
    <w:rsid w:val="00D75DA5"/>
    <w:rsid w:val="00D80A76"/>
    <w:rsid w:val="00D82311"/>
    <w:rsid w:val="00D911EB"/>
    <w:rsid w:val="00DA65ED"/>
    <w:rsid w:val="00DC241B"/>
    <w:rsid w:val="00DD4DCB"/>
    <w:rsid w:val="00DD797D"/>
    <w:rsid w:val="00DE2433"/>
    <w:rsid w:val="00DF027E"/>
    <w:rsid w:val="00DF51CE"/>
    <w:rsid w:val="00DF7588"/>
    <w:rsid w:val="00E0646E"/>
    <w:rsid w:val="00E12955"/>
    <w:rsid w:val="00E131A8"/>
    <w:rsid w:val="00E15EEB"/>
    <w:rsid w:val="00E15F96"/>
    <w:rsid w:val="00E2353C"/>
    <w:rsid w:val="00E268DC"/>
    <w:rsid w:val="00E42D11"/>
    <w:rsid w:val="00E43A4C"/>
    <w:rsid w:val="00E47A3E"/>
    <w:rsid w:val="00E5511D"/>
    <w:rsid w:val="00E60F0B"/>
    <w:rsid w:val="00E6190F"/>
    <w:rsid w:val="00E63E25"/>
    <w:rsid w:val="00E67CD2"/>
    <w:rsid w:val="00E70152"/>
    <w:rsid w:val="00E81537"/>
    <w:rsid w:val="00E81741"/>
    <w:rsid w:val="00E82BF9"/>
    <w:rsid w:val="00E85AEE"/>
    <w:rsid w:val="00E85FB7"/>
    <w:rsid w:val="00E861F9"/>
    <w:rsid w:val="00E9417C"/>
    <w:rsid w:val="00EA1108"/>
    <w:rsid w:val="00EA243D"/>
    <w:rsid w:val="00EA400B"/>
    <w:rsid w:val="00EA4E30"/>
    <w:rsid w:val="00EA7AE3"/>
    <w:rsid w:val="00EB24F5"/>
    <w:rsid w:val="00EB4DD3"/>
    <w:rsid w:val="00EB5120"/>
    <w:rsid w:val="00EC1204"/>
    <w:rsid w:val="00EC2C27"/>
    <w:rsid w:val="00EC35CA"/>
    <w:rsid w:val="00EC4308"/>
    <w:rsid w:val="00EC624E"/>
    <w:rsid w:val="00EC789D"/>
    <w:rsid w:val="00ED1778"/>
    <w:rsid w:val="00EE1991"/>
    <w:rsid w:val="00EE4A4F"/>
    <w:rsid w:val="00EE4DCA"/>
    <w:rsid w:val="00EE512D"/>
    <w:rsid w:val="00EF385A"/>
    <w:rsid w:val="00EF4F8B"/>
    <w:rsid w:val="00EF515E"/>
    <w:rsid w:val="00EF55DD"/>
    <w:rsid w:val="00EF7C23"/>
    <w:rsid w:val="00F02632"/>
    <w:rsid w:val="00F0506B"/>
    <w:rsid w:val="00F06E43"/>
    <w:rsid w:val="00F10110"/>
    <w:rsid w:val="00F122BE"/>
    <w:rsid w:val="00F12D62"/>
    <w:rsid w:val="00F143E9"/>
    <w:rsid w:val="00F26BC8"/>
    <w:rsid w:val="00F317B2"/>
    <w:rsid w:val="00F33582"/>
    <w:rsid w:val="00F33684"/>
    <w:rsid w:val="00F36D37"/>
    <w:rsid w:val="00F370B1"/>
    <w:rsid w:val="00F40101"/>
    <w:rsid w:val="00F40493"/>
    <w:rsid w:val="00F421AD"/>
    <w:rsid w:val="00F44CC0"/>
    <w:rsid w:val="00F45C0E"/>
    <w:rsid w:val="00F50862"/>
    <w:rsid w:val="00F52405"/>
    <w:rsid w:val="00F60352"/>
    <w:rsid w:val="00F813AC"/>
    <w:rsid w:val="00F8143B"/>
    <w:rsid w:val="00F91F11"/>
    <w:rsid w:val="00F92D01"/>
    <w:rsid w:val="00F959A1"/>
    <w:rsid w:val="00FA1FD4"/>
    <w:rsid w:val="00FA2DCC"/>
    <w:rsid w:val="00FA3643"/>
    <w:rsid w:val="00FA7715"/>
    <w:rsid w:val="00FB015E"/>
    <w:rsid w:val="00FB05D3"/>
    <w:rsid w:val="00FB2316"/>
    <w:rsid w:val="00FB7D4C"/>
    <w:rsid w:val="00FC2215"/>
    <w:rsid w:val="00FC394B"/>
    <w:rsid w:val="00FC5633"/>
    <w:rsid w:val="00FD1FEA"/>
    <w:rsid w:val="00FD3FBD"/>
    <w:rsid w:val="00FD45F6"/>
    <w:rsid w:val="00FD6386"/>
    <w:rsid w:val="00FE275F"/>
    <w:rsid w:val="00FF0D74"/>
    <w:rsid w:val="00FF35B0"/>
    <w:rsid w:val="00FF3FB8"/>
    <w:rsid w:val="00FF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1"/>
    </o:shapelayout>
  </w:shapeDefaults>
  <w:decimalSymbol w:val="."/>
  <w:listSeparator w:val=","/>
  <w14:docId w14:val="41A2D51F"/>
  <w15:docId w15:val="{96C2DF05-986E-4060-BE42-091EBF2E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A82"/>
    <w:pPr>
      <w:ind w:left="720"/>
      <w:contextualSpacing/>
    </w:pPr>
  </w:style>
  <w:style w:type="paragraph" w:styleId="Header">
    <w:name w:val="header"/>
    <w:basedOn w:val="Normal"/>
    <w:link w:val="HeaderChar"/>
    <w:uiPriority w:val="99"/>
    <w:unhideWhenUsed/>
    <w:rsid w:val="00F31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7B2"/>
  </w:style>
  <w:style w:type="paragraph" w:styleId="Footer">
    <w:name w:val="footer"/>
    <w:basedOn w:val="Normal"/>
    <w:link w:val="FooterChar"/>
    <w:uiPriority w:val="99"/>
    <w:unhideWhenUsed/>
    <w:rsid w:val="00F31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7B2"/>
  </w:style>
  <w:style w:type="paragraph" w:styleId="BalloonText">
    <w:name w:val="Balloon Text"/>
    <w:basedOn w:val="Normal"/>
    <w:link w:val="BalloonTextChar"/>
    <w:uiPriority w:val="99"/>
    <w:semiHidden/>
    <w:unhideWhenUsed/>
    <w:rsid w:val="00F31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7B2"/>
    <w:rPr>
      <w:rFonts w:ascii="Tahoma" w:hAnsi="Tahoma" w:cs="Tahoma"/>
      <w:sz w:val="16"/>
      <w:szCs w:val="16"/>
    </w:rPr>
  </w:style>
  <w:style w:type="paragraph" w:styleId="FootnoteText">
    <w:name w:val="footnote text"/>
    <w:basedOn w:val="Normal"/>
    <w:link w:val="FootnoteTextChar"/>
    <w:uiPriority w:val="99"/>
    <w:semiHidden/>
    <w:unhideWhenUsed/>
    <w:rsid w:val="00A414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1483"/>
    <w:rPr>
      <w:sz w:val="20"/>
      <w:szCs w:val="20"/>
    </w:rPr>
  </w:style>
  <w:style w:type="character" w:styleId="FootnoteReference">
    <w:name w:val="footnote reference"/>
    <w:basedOn w:val="DefaultParagraphFont"/>
    <w:uiPriority w:val="99"/>
    <w:semiHidden/>
    <w:unhideWhenUsed/>
    <w:rsid w:val="00A41483"/>
    <w:rPr>
      <w:vertAlign w:val="superscript"/>
    </w:rPr>
  </w:style>
  <w:style w:type="character" w:styleId="CommentReference">
    <w:name w:val="annotation reference"/>
    <w:basedOn w:val="DefaultParagraphFont"/>
    <w:uiPriority w:val="99"/>
    <w:semiHidden/>
    <w:unhideWhenUsed/>
    <w:rsid w:val="0031536B"/>
    <w:rPr>
      <w:sz w:val="16"/>
      <w:szCs w:val="16"/>
    </w:rPr>
  </w:style>
  <w:style w:type="paragraph" w:styleId="CommentText">
    <w:name w:val="annotation text"/>
    <w:basedOn w:val="Normal"/>
    <w:link w:val="CommentTextChar"/>
    <w:uiPriority w:val="99"/>
    <w:semiHidden/>
    <w:unhideWhenUsed/>
    <w:rsid w:val="0031536B"/>
    <w:pPr>
      <w:spacing w:line="240" w:lineRule="auto"/>
    </w:pPr>
    <w:rPr>
      <w:sz w:val="20"/>
      <w:szCs w:val="20"/>
    </w:rPr>
  </w:style>
  <w:style w:type="character" w:customStyle="1" w:styleId="CommentTextChar">
    <w:name w:val="Comment Text Char"/>
    <w:basedOn w:val="DefaultParagraphFont"/>
    <w:link w:val="CommentText"/>
    <w:uiPriority w:val="99"/>
    <w:semiHidden/>
    <w:rsid w:val="0031536B"/>
    <w:rPr>
      <w:sz w:val="20"/>
      <w:szCs w:val="20"/>
    </w:rPr>
  </w:style>
  <w:style w:type="paragraph" w:styleId="CommentSubject">
    <w:name w:val="annotation subject"/>
    <w:basedOn w:val="CommentText"/>
    <w:next w:val="CommentText"/>
    <w:link w:val="CommentSubjectChar"/>
    <w:uiPriority w:val="99"/>
    <w:semiHidden/>
    <w:unhideWhenUsed/>
    <w:rsid w:val="0031536B"/>
    <w:rPr>
      <w:b/>
      <w:bCs/>
    </w:rPr>
  </w:style>
  <w:style w:type="character" w:customStyle="1" w:styleId="CommentSubjectChar">
    <w:name w:val="Comment Subject Char"/>
    <w:basedOn w:val="CommentTextChar"/>
    <w:link w:val="CommentSubject"/>
    <w:uiPriority w:val="99"/>
    <w:semiHidden/>
    <w:rsid w:val="0031536B"/>
    <w:rPr>
      <w:b/>
      <w:bCs/>
      <w:sz w:val="20"/>
      <w:szCs w:val="20"/>
    </w:rPr>
  </w:style>
  <w:style w:type="table" w:styleId="TableGrid">
    <w:name w:val="Table Grid"/>
    <w:basedOn w:val="TableNormal"/>
    <w:uiPriority w:val="59"/>
    <w:rsid w:val="00560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3568"/>
    <w:rPr>
      <w:color w:val="0000FF"/>
      <w:u w:val="single"/>
    </w:rPr>
  </w:style>
  <w:style w:type="paragraph" w:customStyle="1" w:styleId="MacPacTrailer">
    <w:name w:val="MacPac Trailer"/>
    <w:rsid w:val="005840BD"/>
    <w:pPr>
      <w:widowControl w:val="0"/>
      <w:spacing w:after="0" w:line="160" w:lineRule="exact"/>
    </w:pPr>
    <w:rPr>
      <w:rFonts w:ascii="Times New Roman" w:eastAsia="Times New Roman" w:hAnsi="Times New Roman" w:cs="Times New Roman"/>
      <w:sz w:val="14"/>
    </w:rPr>
  </w:style>
  <w:style w:type="character" w:styleId="PlaceholderText">
    <w:name w:val="Placeholder Text"/>
    <w:basedOn w:val="DefaultParagraphFont"/>
    <w:uiPriority w:val="99"/>
    <w:semiHidden/>
    <w:rsid w:val="00270949"/>
    <w:rPr>
      <w:color w:val="808080"/>
    </w:rPr>
  </w:style>
  <w:style w:type="character" w:styleId="Emphasis">
    <w:name w:val="Emphasis"/>
    <w:basedOn w:val="DefaultParagraphFont"/>
    <w:uiPriority w:val="20"/>
    <w:qFormat/>
    <w:rsid w:val="005624B9"/>
    <w:rPr>
      <w:i/>
      <w:iCs/>
    </w:rPr>
  </w:style>
  <w:style w:type="paragraph" w:customStyle="1" w:styleId="p0">
    <w:name w:val="p0"/>
    <w:basedOn w:val="Normal"/>
    <w:rsid w:val="005624B9"/>
    <w:pPr>
      <w:spacing w:before="48" w:after="240" w:line="240" w:lineRule="auto"/>
      <w:ind w:firstLine="480"/>
    </w:pPr>
    <w:rPr>
      <w:rFonts w:ascii="Times New Roman" w:eastAsia="Times New Roman" w:hAnsi="Times New Roman" w:cs="Times New Roman"/>
      <w:spacing w:val="2"/>
      <w:sz w:val="24"/>
      <w:szCs w:val="24"/>
    </w:rPr>
  </w:style>
  <w:style w:type="character" w:customStyle="1" w:styleId="sr-only1">
    <w:name w:val="sr-only1"/>
    <w:basedOn w:val="DefaultParagraphFont"/>
    <w:rsid w:val="005624B9"/>
    <w:rPr>
      <w:bdr w:val="none" w:sz="0" w:space="0" w:color="auto" w:frame="1"/>
    </w:rPr>
  </w:style>
  <w:style w:type="paragraph" w:customStyle="1" w:styleId="historynote0">
    <w:name w:val="historynote0"/>
    <w:basedOn w:val="Normal"/>
    <w:rsid w:val="005624B9"/>
    <w:pPr>
      <w:spacing w:after="195" w:line="240" w:lineRule="auto"/>
    </w:pPr>
    <w:rPr>
      <w:rFonts w:ascii="Times New Roman" w:eastAsia="Times New Roman" w:hAnsi="Times New Roman" w:cs="Times New Roman"/>
      <w:spacing w:val="2"/>
      <w:sz w:val="24"/>
      <w:szCs w:val="24"/>
    </w:rPr>
  </w:style>
  <w:style w:type="paragraph" w:styleId="PlainText">
    <w:name w:val="Plain Text"/>
    <w:basedOn w:val="Normal"/>
    <w:link w:val="PlainTextChar"/>
    <w:uiPriority w:val="99"/>
    <w:semiHidden/>
    <w:unhideWhenUsed/>
    <w:rsid w:val="00C509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5092D"/>
    <w:rPr>
      <w:rFonts w:ascii="Calibri" w:hAnsi="Calibri"/>
      <w:szCs w:val="21"/>
    </w:rPr>
  </w:style>
  <w:style w:type="paragraph" w:customStyle="1" w:styleId="incr1">
    <w:name w:val="incr1"/>
    <w:basedOn w:val="Normal"/>
    <w:rsid w:val="00F421AD"/>
    <w:pPr>
      <w:spacing w:after="48" w:line="240" w:lineRule="auto"/>
      <w:ind w:right="120"/>
      <w:jc w:val="right"/>
    </w:pPr>
    <w:rPr>
      <w:rFonts w:ascii="Times New Roman" w:eastAsia="Times New Roman" w:hAnsi="Times New Roman" w:cs="Times New Roman"/>
      <w:spacing w:val="2"/>
      <w:sz w:val="24"/>
      <w:szCs w:val="24"/>
    </w:rPr>
  </w:style>
  <w:style w:type="paragraph" w:customStyle="1" w:styleId="content2">
    <w:name w:val="content2"/>
    <w:basedOn w:val="Normal"/>
    <w:rsid w:val="00F421AD"/>
    <w:pPr>
      <w:spacing w:after="195" w:line="240" w:lineRule="auto"/>
    </w:pPr>
    <w:rPr>
      <w:rFonts w:ascii="Times New Roman" w:eastAsia="Times New Roman" w:hAnsi="Times New Roman" w:cs="Times New Roman"/>
      <w:spacing w:val="2"/>
      <w:sz w:val="24"/>
      <w:szCs w:val="24"/>
    </w:rPr>
  </w:style>
  <w:style w:type="character" w:customStyle="1" w:styleId="text">
    <w:name w:val="text"/>
    <w:basedOn w:val="DefaultParagraphFont"/>
    <w:rsid w:val="00202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0577">
      <w:bodyDiv w:val="1"/>
      <w:marLeft w:val="0"/>
      <w:marRight w:val="0"/>
      <w:marTop w:val="0"/>
      <w:marBottom w:val="0"/>
      <w:divBdr>
        <w:top w:val="none" w:sz="0" w:space="0" w:color="auto"/>
        <w:left w:val="none" w:sz="0" w:space="0" w:color="auto"/>
        <w:bottom w:val="none" w:sz="0" w:space="0" w:color="auto"/>
        <w:right w:val="none" w:sz="0" w:space="0" w:color="auto"/>
      </w:divBdr>
    </w:div>
    <w:div w:id="425078400">
      <w:bodyDiv w:val="1"/>
      <w:marLeft w:val="0"/>
      <w:marRight w:val="0"/>
      <w:marTop w:val="0"/>
      <w:marBottom w:val="0"/>
      <w:divBdr>
        <w:top w:val="none" w:sz="0" w:space="0" w:color="auto"/>
        <w:left w:val="none" w:sz="0" w:space="0" w:color="auto"/>
        <w:bottom w:val="none" w:sz="0" w:space="0" w:color="auto"/>
        <w:right w:val="none" w:sz="0" w:space="0" w:color="auto"/>
      </w:divBdr>
      <w:divsChild>
        <w:div w:id="483281098">
          <w:marLeft w:val="0"/>
          <w:marRight w:val="0"/>
          <w:marTop w:val="0"/>
          <w:marBottom w:val="0"/>
          <w:divBdr>
            <w:top w:val="none" w:sz="0" w:space="0" w:color="auto"/>
            <w:left w:val="none" w:sz="0" w:space="0" w:color="auto"/>
            <w:bottom w:val="none" w:sz="0" w:space="0" w:color="auto"/>
            <w:right w:val="none" w:sz="0" w:space="0" w:color="auto"/>
          </w:divBdr>
          <w:divsChild>
            <w:div w:id="101920712">
              <w:marLeft w:val="0"/>
              <w:marRight w:val="0"/>
              <w:marTop w:val="0"/>
              <w:marBottom w:val="0"/>
              <w:divBdr>
                <w:top w:val="none" w:sz="0" w:space="0" w:color="auto"/>
                <w:left w:val="none" w:sz="0" w:space="0" w:color="auto"/>
                <w:bottom w:val="none" w:sz="0" w:space="0" w:color="auto"/>
                <w:right w:val="none" w:sz="0" w:space="0" w:color="auto"/>
              </w:divBdr>
              <w:divsChild>
                <w:div w:id="266888349">
                  <w:marLeft w:val="0"/>
                  <w:marRight w:val="0"/>
                  <w:marTop w:val="0"/>
                  <w:marBottom w:val="0"/>
                  <w:divBdr>
                    <w:top w:val="none" w:sz="0" w:space="0" w:color="auto"/>
                    <w:left w:val="none" w:sz="0" w:space="0" w:color="auto"/>
                    <w:bottom w:val="none" w:sz="0" w:space="0" w:color="auto"/>
                    <w:right w:val="none" w:sz="0" w:space="0" w:color="auto"/>
                  </w:divBdr>
                  <w:divsChild>
                    <w:div w:id="2043557325">
                      <w:marLeft w:val="0"/>
                      <w:marRight w:val="0"/>
                      <w:marTop w:val="0"/>
                      <w:marBottom w:val="0"/>
                      <w:divBdr>
                        <w:top w:val="none" w:sz="0" w:space="0" w:color="auto"/>
                        <w:left w:val="none" w:sz="0" w:space="0" w:color="auto"/>
                        <w:bottom w:val="none" w:sz="0" w:space="0" w:color="auto"/>
                        <w:right w:val="none" w:sz="0" w:space="0" w:color="auto"/>
                      </w:divBdr>
                      <w:divsChild>
                        <w:div w:id="234703083">
                          <w:marLeft w:val="0"/>
                          <w:marRight w:val="0"/>
                          <w:marTop w:val="0"/>
                          <w:marBottom w:val="0"/>
                          <w:divBdr>
                            <w:top w:val="none" w:sz="0" w:space="0" w:color="auto"/>
                            <w:left w:val="none" w:sz="0" w:space="0" w:color="auto"/>
                            <w:bottom w:val="none" w:sz="0" w:space="0" w:color="auto"/>
                            <w:right w:val="none" w:sz="0" w:space="0" w:color="auto"/>
                          </w:divBdr>
                          <w:divsChild>
                            <w:div w:id="303314548">
                              <w:marLeft w:val="0"/>
                              <w:marRight w:val="0"/>
                              <w:marTop w:val="0"/>
                              <w:marBottom w:val="0"/>
                              <w:divBdr>
                                <w:top w:val="none" w:sz="0" w:space="0" w:color="auto"/>
                                <w:left w:val="none" w:sz="0" w:space="0" w:color="auto"/>
                                <w:bottom w:val="none" w:sz="0" w:space="0" w:color="auto"/>
                                <w:right w:val="none" w:sz="0" w:space="0" w:color="auto"/>
                              </w:divBdr>
                              <w:divsChild>
                                <w:div w:id="100537142">
                                  <w:marLeft w:val="0"/>
                                  <w:marRight w:val="0"/>
                                  <w:marTop w:val="0"/>
                                  <w:marBottom w:val="0"/>
                                  <w:divBdr>
                                    <w:top w:val="none" w:sz="0" w:space="0" w:color="auto"/>
                                    <w:left w:val="none" w:sz="0" w:space="0" w:color="auto"/>
                                    <w:bottom w:val="none" w:sz="0" w:space="0" w:color="auto"/>
                                    <w:right w:val="none" w:sz="0" w:space="0" w:color="auto"/>
                                  </w:divBdr>
                                  <w:divsChild>
                                    <w:div w:id="573198518">
                                      <w:marLeft w:val="0"/>
                                      <w:marRight w:val="0"/>
                                      <w:marTop w:val="0"/>
                                      <w:marBottom w:val="0"/>
                                      <w:divBdr>
                                        <w:top w:val="none" w:sz="0" w:space="0" w:color="auto"/>
                                        <w:left w:val="none" w:sz="0" w:space="0" w:color="auto"/>
                                        <w:bottom w:val="none" w:sz="0" w:space="0" w:color="auto"/>
                                        <w:right w:val="none" w:sz="0" w:space="0" w:color="auto"/>
                                      </w:divBdr>
                                      <w:divsChild>
                                        <w:div w:id="1199708553">
                                          <w:marLeft w:val="0"/>
                                          <w:marRight w:val="0"/>
                                          <w:marTop w:val="0"/>
                                          <w:marBottom w:val="0"/>
                                          <w:divBdr>
                                            <w:top w:val="none" w:sz="0" w:space="0" w:color="auto"/>
                                            <w:left w:val="none" w:sz="0" w:space="0" w:color="auto"/>
                                            <w:bottom w:val="none" w:sz="0" w:space="0" w:color="auto"/>
                                            <w:right w:val="none" w:sz="0" w:space="0" w:color="auto"/>
                                          </w:divBdr>
                                          <w:divsChild>
                                            <w:div w:id="5225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0532985">
      <w:bodyDiv w:val="1"/>
      <w:marLeft w:val="0"/>
      <w:marRight w:val="0"/>
      <w:marTop w:val="0"/>
      <w:marBottom w:val="0"/>
      <w:divBdr>
        <w:top w:val="none" w:sz="0" w:space="0" w:color="auto"/>
        <w:left w:val="none" w:sz="0" w:space="0" w:color="auto"/>
        <w:bottom w:val="none" w:sz="0" w:space="0" w:color="auto"/>
        <w:right w:val="none" w:sz="0" w:space="0" w:color="auto"/>
      </w:divBdr>
    </w:div>
    <w:div w:id="1203249947">
      <w:bodyDiv w:val="1"/>
      <w:marLeft w:val="0"/>
      <w:marRight w:val="0"/>
      <w:marTop w:val="0"/>
      <w:marBottom w:val="0"/>
      <w:divBdr>
        <w:top w:val="none" w:sz="0" w:space="0" w:color="auto"/>
        <w:left w:val="none" w:sz="0" w:space="0" w:color="auto"/>
        <w:bottom w:val="none" w:sz="0" w:space="0" w:color="auto"/>
        <w:right w:val="none" w:sz="0" w:space="0" w:color="auto"/>
      </w:divBdr>
      <w:divsChild>
        <w:div w:id="519664530">
          <w:marLeft w:val="0"/>
          <w:marRight w:val="0"/>
          <w:marTop w:val="0"/>
          <w:marBottom w:val="0"/>
          <w:divBdr>
            <w:top w:val="none" w:sz="0" w:space="0" w:color="auto"/>
            <w:left w:val="none" w:sz="0" w:space="0" w:color="auto"/>
            <w:bottom w:val="none" w:sz="0" w:space="0" w:color="auto"/>
            <w:right w:val="none" w:sz="0" w:space="0" w:color="auto"/>
          </w:divBdr>
          <w:divsChild>
            <w:div w:id="1579633283">
              <w:marLeft w:val="0"/>
              <w:marRight w:val="0"/>
              <w:marTop w:val="0"/>
              <w:marBottom w:val="0"/>
              <w:divBdr>
                <w:top w:val="none" w:sz="0" w:space="0" w:color="auto"/>
                <w:left w:val="none" w:sz="0" w:space="0" w:color="auto"/>
                <w:bottom w:val="none" w:sz="0" w:space="0" w:color="auto"/>
                <w:right w:val="none" w:sz="0" w:space="0" w:color="auto"/>
              </w:divBdr>
              <w:divsChild>
                <w:div w:id="648873510">
                  <w:marLeft w:val="0"/>
                  <w:marRight w:val="0"/>
                  <w:marTop w:val="0"/>
                  <w:marBottom w:val="0"/>
                  <w:divBdr>
                    <w:top w:val="none" w:sz="0" w:space="0" w:color="auto"/>
                    <w:left w:val="none" w:sz="0" w:space="0" w:color="auto"/>
                    <w:bottom w:val="none" w:sz="0" w:space="0" w:color="auto"/>
                    <w:right w:val="none" w:sz="0" w:space="0" w:color="auto"/>
                  </w:divBdr>
                  <w:divsChild>
                    <w:div w:id="504521055">
                      <w:marLeft w:val="0"/>
                      <w:marRight w:val="0"/>
                      <w:marTop w:val="0"/>
                      <w:marBottom w:val="0"/>
                      <w:divBdr>
                        <w:top w:val="none" w:sz="0" w:space="0" w:color="auto"/>
                        <w:left w:val="none" w:sz="0" w:space="0" w:color="auto"/>
                        <w:bottom w:val="none" w:sz="0" w:space="0" w:color="auto"/>
                        <w:right w:val="none" w:sz="0" w:space="0" w:color="auto"/>
                      </w:divBdr>
                      <w:divsChild>
                        <w:div w:id="986712265">
                          <w:marLeft w:val="0"/>
                          <w:marRight w:val="0"/>
                          <w:marTop w:val="0"/>
                          <w:marBottom w:val="0"/>
                          <w:divBdr>
                            <w:top w:val="none" w:sz="0" w:space="0" w:color="auto"/>
                            <w:left w:val="none" w:sz="0" w:space="0" w:color="auto"/>
                            <w:bottom w:val="none" w:sz="0" w:space="0" w:color="auto"/>
                            <w:right w:val="none" w:sz="0" w:space="0" w:color="auto"/>
                          </w:divBdr>
                          <w:divsChild>
                            <w:div w:id="1849102155">
                              <w:marLeft w:val="0"/>
                              <w:marRight w:val="0"/>
                              <w:marTop w:val="0"/>
                              <w:marBottom w:val="0"/>
                              <w:divBdr>
                                <w:top w:val="none" w:sz="0" w:space="0" w:color="auto"/>
                                <w:left w:val="none" w:sz="0" w:space="0" w:color="auto"/>
                                <w:bottom w:val="none" w:sz="0" w:space="0" w:color="auto"/>
                                <w:right w:val="none" w:sz="0" w:space="0" w:color="auto"/>
                              </w:divBdr>
                              <w:divsChild>
                                <w:div w:id="230624550">
                                  <w:marLeft w:val="0"/>
                                  <w:marRight w:val="0"/>
                                  <w:marTop w:val="0"/>
                                  <w:marBottom w:val="0"/>
                                  <w:divBdr>
                                    <w:top w:val="none" w:sz="0" w:space="0" w:color="auto"/>
                                    <w:left w:val="none" w:sz="0" w:space="0" w:color="auto"/>
                                    <w:bottom w:val="none" w:sz="0" w:space="0" w:color="auto"/>
                                    <w:right w:val="none" w:sz="0" w:space="0" w:color="auto"/>
                                  </w:divBdr>
                                  <w:divsChild>
                                    <w:div w:id="1646352877">
                                      <w:marLeft w:val="0"/>
                                      <w:marRight w:val="0"/>
                                      <w:marTop w:val="0"/>
                                      <w:marBottom w:val="0"/>
                                      <w:divBdr>
                                        <w:top w:val="none" w:sz="0" w:space="0" w:color="auto"/>
                                        <w:left w:val="none" w:sz="0" w:space="0" w:color="auto"/>
                                        <w:bottom w:val="none" w:sz="0" w:space="0" w:color="auto"/>
                                        <w:right w:val="none" w:sz="0" w:space="0" w:color="auto"/>
                                      </w:divBdr>
                                      <w:divsChild>
                                        <w:div w:id="1886286131">
                                          <w:marLeft w:val="0"/>
                                          <w:marRight w:val="0"/>
                                          <w:marTop w:val="120"/>
                                          <w:marBottom w:val="120"/>
                                          <w:divBdr>
                                            <w:top w:val="none" w:sz="0" w:space="0" w:color="auto"/>
                                            <w:left w:val="none" w:sz="0" w:space="0" w:color="auto"/>
                                            <w:bottom w:val="none" w:sz="0" w:space="0" w:color="auto"/>
                                            <w:right w:val="none" w:sz="0" w:space="0" w:color="auto"/>
                                          </w:divBdr>
                                          <w:divsChild>
                                            <w:div w:id="1389304975">
                                              <w:marLeft w:val="0"/>
                                              <w:marRight w:val="0"/>
                                              <w:marTop w:val="0"/>
                                              <w:marBottom w:val="0"/>
                                              <w:divBdr>
                                                <w:top w:val="none" w:sz="0" w:space="0" w:color="auto"/>
                                                <w:left w:val="none" w:sz="0" w:space="0" w:color="auto"/>
                                                <w:bottom w:val="none" w:sz="0" w:space="0" w:color="auto"/>
                                                <w:right w:val="none" w:sz="0" w:space="0" w:color="auto"/>
                                              </w:divBdr>
                                              <w:divsChild>
                                                <w:div w:id="2030177563">
                                                  <w:marLeft w:val="0"/>
                                                  <w:marRight w:val="0"/>
                                                  <w:marTop w:val="0"/>
                                                  <w:marBottom w:val="0"/>
                                                  <w:divBdr>
                                                    <w:top w:val="none" w:sz="0" w:space="0" w:color="auto"/>
                                                    <w:left w:val="none" w:sz="0" w:space="0" w:color="auto"/>
                                                    <w:bottom w:val="none" w:sz="0" w:space="0" w:color="auto"/>
                                                    <w:right w:val="none" w:sz="0" w:space="0" w:color="auto"/>
                                                  </w:divBdr>
                                                </w:div>
                                              </w:divsChild>
                                            </w:div>
                                            <w:div w:id="125782714">
                                              <w:marLeft w:val="0"/>
                                              <w:marRight w:val="0"/>
                                              <w:marTop w:val="0"/>
                                              <w:marBottom w:val="0"/>
                                              <w:divBdr>
                                                <w:top w:val="none" w:sz="0" w:space="0" w:color="auto"/>
                                                <w:left w:val="none" w:sz="0" w:space="0" w:color="auto"/>
                                                <w:bottom w:val="none" w:sz="0" w:space="0" w:color="auto"/>
                                                <w:right w:val="none" w:sz="0" w:space="0" w:color="auto"/>
                                              </w:divBdr>
                                              <w:divsChild>
                                                <w:div w:id="824668863">
                                                  <w:marLeft w:val="0"/>
                                                  <w:marRight w:val="0"/>
                                                  <w:marTop w:val="0"/>
                                                  <w:marBottom w:val="0"/>
                                                  <w:divBdr>
                                                    <w:top w:val="none" w:sz="0" w:space="0" w:color="auto"/>
                                                    <w:left w:val="none" w:sz="0" w:space="0" w:color="auto"/>
                                                    <w:bottom w:val="none" w:sz="0" w:space="0" w:color="auto"/>
                                                    <w:right w:val="none" w:sz="0" w:space="0" w:color="auto"/>
                                                  </w:divBdr>
                                                </w:div>
                                                <w:div w:id="7367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1281">
                                          <w:marLeft w:val="0"/>
                                          <w:marRight w:val="0"/>
                                          <w:marTop w:val="0"/>
                                          <w:marBottom w:val="0"/>
                                          <w:divBdr>
                                            <w:top w:val="none" w:sz="0" w:space="0" w:color="auto"/>
                                            <w:left w:val="none" w:sz="0" w:space="0" w:color="auto"/>
                                            <w:bottom w:val="none" w:sz="0" w:space="0" w:color="auto"/>
                                            <w:right w:val="none" w:sz="0" w:space="0" w:color="auto"/>
                                          </w:divBdr>
                                          <w:divsChild>
                                            <w:div w:id="14890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footer3.xml" Type="http://schemas.openxmlformats.org/officeDocument/2006/relationships/footer" Id="rId13"></Relationship><Relationship Target="styles.xml" Type="http://schemas.openxmlformats.org/officeDocument/2006/relationships/styles" Id="rId3"></Relationship><Relationship Target="endnotes.xml" Type="http://schemas.openxmlformats.org/officeDocument/2006/relationships/endnotes" Id="rId7"></Relationship><Relationship Target="header3.xml" Type="http://schemas.openxmlformats.org/officeDocument/2006/relationships/header" Id="rId12"></Relationship><Relationship Target="numbering.xml" Type="http://schemas.openxmlformats.org/officeDocument/2006/relationships/numbering" Id="rId2"></Relationship><Relationship Target="footnotes.xml" Type="http://schemas.openxmlformats.org/officeDocument/2006/relationships/footnotes" Id="rId6"></Relationship><Relationship Target="footer2.xml" Type="http://schemas.openxmlformats.org/officeDocument/2006/relationships/footer" Id="rId11"></Relationship><Relationship Target="webSettings.xml" Type="http://schemas.openxmlformats.org/officeDocument/2006/relationships/webSettings" Id="rId5"></Relationship><Relationship Target="theme/theme1.xml" Type="http://schemas.openxmlformats.org/officeDocument/2006/relationships/theme" Id="rId15"></Relationship><Relationship Target="footer1.xml" Type="http://schemas.openxmlformats.org/officeDocument/2006/relationships/footer" Id="rId10"></Relationship><Relationship Target="settings.xml" Type="http://schemas.openxmlformats.org/officeDocument/2006/relationships/settings" Id="rId4"></Relationship><Relationship Target="header2.xml" Type="http://schemas.openxmlformats.org/officeDocument/2006/relationships/header" Id="rId9"></Relationship><Relationship Target="fontTable.xml" Type="http://schemas.openxmlformats.org/officeDocument/2006/relationships/fontTable"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